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2CAF2" w14:textId="77777777" w:rsidR="00284AE7" w:rsidRDefault="00284AE7" w:rsidP="005C6157">
      <w:pPr>
        <w:jc w:val="center"/>
        <w:rPr>
          <w:sz w:val="44"/>
          <w:szCs w:val="44"/>
        </w:rPr>
      </w:pPr>
    </w:p>
    <w:p w14:paraId="49B0569E" w14:textId="77777777" w:rsidR="00284AE7" w:rsidRDefault="00284AE7" w:rsidP="005C6157">
      <w:pPr>
        <w:jc w:val="center"/>
        <w:rPr>
          <w:sz w:val="44"/>
          <w:szCs w:val="44"/>
        </w:rPr>
      </w:pPr>
    </w:p>
    <w:p w14:paraId="0CF7C7CA" w14:textId="77777777" w:rsidR="00413544" w:rsidRPr="00284AE7" w:rsidRDefault="005C6157" w:rsidP="005C6157">
      <w:pPr>
        <w:jc w:val="center"/>
        <w:rPr>
          <w:sz w:val="44"/>
          <w:szCs w:val="44"/>
        </w:rPr>
      </w:pPr>
      <w:r w:rsidRPr="00284AE7">
        <w:rPr>
          <w:sz w:val="44"/>
          <w:szCs w:val="44"/>
        </w:rPr>
        <w:t>Liverpool Hope University</w:t>
      </w:r>
    </w:p>
    <w:p w14:paraId="18B84270" w14:textId="77777777" w:rsidR="005C6157" w:rsidRPr="00284AE7" w:rsidRDefault="005C6157" w:rsidP="005C6157">
      <w:pPr>
        <w:jc w:val="center"/>
        <w:rPr>
          <w:sz w:val="44"/>
          <w:szCs w:val="44"/>
        </w:rPr>
      </w:pPr>
    </w:p>
    <w:p w14:paraId="6FD9830C" w14:textId="77777777" w:rsidR="005C6157" w:rsidRPr="00284AE7" w:rsidRDefault="001F1493" w:rsidP="005C6157">
      <w:pPr>
        <w:jc w:val="center"/>
        <w:rPr>
          <w:sz w:val="44"/>
          <w:szCs w:val="44"/>
        </w:rPr>
      </w:pPr>
      <w:r w:rsidRPr="00284AE7">
        <w:rPr>
          <w:sz w:val="44"/>
          <w:szCs w:val="44"/>
        </w:rPr>
        <w:t xml:space="preserve">EQUALITY ANALYSIS </w:t>
      </w:r>
    </w:p>
    <w:p w14:paraId="068564B0" w14:textId="77777777" w:rsidR="005C6157" w:rsidRPr="00284AE7" w:rsidRDefault="005C6157" w:rsidP="005C6157">
      <w:pPr>
        <w:jc w:val="center"/>
        <w:rPr>
          <w:sz w:val="44"/>
          <w:szCs w:val="44"/>
        </w:rPr>
      </w:pPr>
    </w:p>
    <w:p w14:paraId="46747B32" w14:textId="77777777" w:rsidR="009F69E0" w:rsidRDefault="009F69E0" w:rsidP="00C05AE4">
      <w:pPr>
        <w:pStyle w:val="NoSpacing"/>
      </w:pPr>
    </w:p>
    <w:p w14:paraId="7DA6FD09" w14:textId="77777777" w:rsidR="009F69E0" w:rsidRDefault="009F69E0" w:rsidP="00C05AE4">
      <w:pPr>
        <w:pStyle w:val="NoSpacing"/>
      </w:pPr>
    </w:p>
    <w:p w14:paraId="0A46343D" w14:textId="77777777" w:rsidR="009F69E0" w:rsidRDefault="009F69E0" w:rsidP="00C05AE4">
      <w:pPr>
        <w:pStyle w:val="NoSpacing"/>
      </w:pPr>
    </w:p>
    <w:p w14:paraId="424EC647" w14:textId="77777777" w:rsidR="009F69E0" w:rsidRDefault="009F69E0" w:rsidP="00C05AE4">
      <w:pPr>
        <w:pStyle w:val="NoSpacing"/>
      </w:pPr>
    </w:p>
    <w:p w14:paraId="63195B85" w14:textId="77777777" w:rsidR="00D012D6" w:rsidRDefault="00D012D6" w:rsidP="00C05AE4">
      <w:pPr>
        <w:pStyle w:val="NoSpacing"/>
      </w:pPr>
    </w:p>
    <w:p w14:paraId="5ED8F354" w14:textId="77777777" w:rsidR="009968BD" w:rsidRDefault="009968BD" w:rsidP="00C05AE4">
      <w:pPr>
        <w:pStyle w:val="NoSpacing"/>
      </w:pPr>
    </w:p>
    <w:p w14:paraId="43FBBA94" w14:textId="77777777" w:rsidR="009968BD" w:rsidRDefault="009968BD" w:rsidP="00C05AE4">
      <w:pPr>
        <w:pStyle w:val="NoSpacing"/>
      </w:pPr>
    </w:p>
    <w:p w14:paraId="2B318A2C" w14:textId="77777777" w:rsidR="009968BD" w:rsidRDefault="009968BD" w:rsidP="00C05AE4">
      <w:pPr>
        <w:pStyle w:val="NoSpacing"/>
      </w:pPr>
    </w:p>
    <w:p w14:paraId="268E7BA0" w14:textId="77777777" w:rsidR="009968BD" w:rsidRDefault="009968BD" w:rsidP="00C05AE4">
      <w:pPr>
        <w:pStyle w:val="NoSpacing"/>
      </w:pPr>
    </w:p>
    <w:p w14:paraId="43296119" w14:textId="77777777" w:rsidR="009968BD" w:rsidRDefault="009968BD" w:rsidP="00C05AE4">
      <w:pPr>
        <w:pStyle w:val="NoSpacing"/>
      </w:pPr>
    </w:p>
    <w:p w14:paraId="257EC9DC" w14:textId="77777777" w:rsidR="009968BD" w:rsidRDefault="009968BD" w:rsidP="00C05AE4">
      <w:pPr>
        <w:pStyle w:val="NoSpacing"/>
      </w:pPr>
    </w:p>
    <w:p w14:paraId="0C12C53B" w14:textId="77777777" w:rsidR="009968BD" w:rsidRDefault="009968BD" w:rsidP="00C05AE4">
      <w:pPr>
        <w:pStyle w:val="NoSpacing"/>
      </w:pPr>
    </w:p>
    <w:p w14:paraId="472526C6" w14:textId="77777777" w:rsidR="009968BD" w:rsidRDefault="009968BD" w:rsidP="00C05AE4">
      <w:pPr>
        <w:pStyle w:val="NoSpacing"/>
      </w:pPr>
    </w:p>
    <w:p w14:paraId="774D5890" w14:textId="77777777" w:rsidR="00E502A3" w:rsidRDefault="00E502A3" w:rsidP="00C05AE4">
      <w:pPr>
        <w:pStyle w:val="NoSpacing"/>
      </w:pPr>
    </w:p>
    <w:p w14:paraId="6D4B75F5" w14:textId="77777777" w:rsidR="001825CD" w:rsidRDefault="001825CD" w:rsidP="00C05AE4">
      <w:pPr>
        <w:pStyle w:val="NoSpacing"/>
      </w:pPr>
    </w:p>
    <w:p w14:paraId="02F93CB5" w14:textId="77777777" w:rsidR="009F69E0" w:rsidRPr="009F69E0" w:rsidRDefault="009F69E0" w:rsidP="00A722E5">
      <w:pPr>
        <w:pStyle w:val="NoSpacing"/>
        <w:jc w:val="center"/>
        <w:rPr>
          <w:b/>
          <w:u w:val="single"/>
        </w:rPr>
      </w:pPr>
      <w:r w:rsidRPr="009F69E0">
        <w:rPr>
          <w:b/>
          <w:u w:val="single"/>
        </w:rPr>
        <w:lastRenderedPageBreak/>
        <w:t>Equality Analysis Template</w:t>
      </w:r>
    </w:p>
    <w:p w14:paraId="2E9A933E" w14:textId="77777777" w:rsidR="009F69E0" w:rsidRDefault="009F69E0" w:rsidP="00C05AE4">
      <w:pPr>
        <w:pStyle w:val="NoSpacing"/>
      </w:pPr>
    </w:p>
    <w:p w14:paraId="7B0F80CC" w14:textId="77777777" w:rsidR="009F69E0" w:rsidRDefault="009F69E0" w:rsidP="00C05AE4">
      <w:pPr>
        <w:pStyle w:val="NoSpacing"/>
      </w:pPr>
      <w:r>
        <w:t xml:space="preserve">Please ensure you read the accompanying guidance notes before completing this form.  </w:t>
      </w:r>
    </w:p>
    <w:p w14:paraId="1CCD09B3" w14:textId="77777777" w:rsidR="009F69E0" w:rsidRDefault="009F69E0" w:rsidP="00C05AE4">
      <w:pPr>
        <w:pStyle w:val="NoSpacing"/>
      </w:pPr>
    </w:p>
    <w:p w14:paraId="00F9C79C" w14:textId="77777777" w:rsidR="009F69E0" w:rsidRDefault="009F69E0" w:rsidP="00C05AE4">
      <w:pPr>
        <w:pStyle w:val="NoSpacing"/>
      </w:pPr>
      <w:r>
        <w:t>This form is a written record that demonstrates you have shown due regard to the need to eliminate unlawful discrimination, advance equality of opportunity and foster good relations with respect to the characteristics protected by equality law.</w:t>
      </w:r>
    </w:p>
    <w:p w14:paraId="096B6C44" w14:textId="77777777" w:rsidR="009F69E0" w:rsidRDefault="009F69E0" w:rsidP="00C05AE4">
      <w:pPr>
        <w:pStyle w:val="NoSpacing"/>
      </w:pPr>
    </w:p>
    <w:p w14:paraId="79250FD8" w14:textId="77777777" w:rsidR="009F69E0" w:rsidRPr="009F69E0" w:rsidRDefault="009F69E0" w:rsidP="00C05AE4">
      <w:pPr>
        <w:pStyle w:val="NoSpacing"/>
        <w:rPr>
          <w:b/>
        </w:rPr>
      </w:pPr>
      <w:r w:rsidRPr="009F69E0">
        <w:rPr>
          <w:b/>
        </w:rPr>
        <w:t>1</w:t>
      </w:r>
      <w:r w:rsidRPr="009F69E0">
        <w:rPr>
          <w:b/>
        </w:rPr>
        <w:tab/>
        <w:t>About the Policy</w:t>
      </w:r>
    </w:p>
    <w:p w14:paraId="1DDDBE14" w14:textId="77777777" w:rsidR="009F69E0" w:rsidRDefault="009F69E0" w:rsidP="00C05AE4">
      <w:pPr>
        <w:pStyle w:val="NoSpacing"/>
      </w:pPr>
    </w:p>
    <w:tbl>
      <w:tblPr>
        <w:tblStyle w:val="TableGrid"/>
        <w:tblW w:w="0" w:type="auto"/>
        <w:tblLook w:val="04A0" w:firstRow="1" w:lastRow="0" w:firstColumn="1" w:lastColumn="0" w:noHBand="0" w:noVBand="1"/>
      </w:tblPr>
      <w:tblGrid>
        <w:gridCol w:w="4361"/>
        <w:gridCol w:w="9526"/>
      </w:tblGrid>
      <w:tr w:rsidR="009F69E0" w14:paraId="277474E4" w14:textId="77777777" w:rsidTr="009968BD">
        <w:tc>
          <w:tcPr>
            <w:tcW w:w="4361" w:type="dxa"/>
          </w:tcPr>
          <w:p w14:paraId="5ED1D703" w14:textId="77777777" w:rsidR="009F69E0" w:rsidRDefault="009F69E0" w:rsidP="00C05AE4">
            <w:pPr>
              <w:pStyle w:val="NoSpacing"/>
            </w:pPr>
          </w:p>
          <w:p w14:paraId="33326E73" w14:textId="77777777" w:rsidR="009F69E0" w:rsidRDefault="009F69E0" w:rsidP="00C05AE4">
            <w:pPr>
              <w:pStyle w:val="NoSpacing"/>
            </w:pPr>
            <w:r>
              <w:t>Name of the Policy/procedure/function:</w:t>
            </w:r>
          </w:p>
        </w:tc>
        <w:tc>
          <w:tcPr>
            <w:tcW w:w="9526" w:type="dxa"/>
          </w:tcPr>
          <w:p w14:paraId="30C3FBE2" w14:textId="77777777" w:rsidR="009056B8" w:rsidRPr="00D4157F" w:rsidRDefault="009056B8" w:rsidP="00C05AE4">
            <w:pPr>
              <w:pStyle w:val="NoSpacing"/>
              <w:rPr>
                <w:rFonts w:cs="Arial"/>
                <w:szCs w:val="24"/>
              </w:rPr>
            </w:pPr>
          </w:p>
          <w:p w14:paraId="69A2D93A" w14:textId="76FEC5D6" w:rsidR="0084165C" w:rsidRPr="00D4157F" w:rsidRDefault="00D4157F" w:rsidP="00E21B71">
            <w:pPr>
              <w:pStyle w:val="NoSpacing"/>
              <w:rPr>
                <w:rFonts w:cs="Arial"/>
                <w:szCs w:val="24"/>
              </w:rPr>
            </w:pPr>
            <w:r w:rsidRPr="00D4157F">
              <w:rPr>
                <w:rStyle w:val="Strong"/>
                <w:rFonts w:cs="Arial"/>
                <w:b w:val="0"/>
                <w:bCs w:val="0"/>
                <w:szCs w:val="24"/>
              </w:rPr>
              <w:t>University Academic Framework Redesign</w:t>
            </w:r>
          </w:p>
        </w:tc>
      </w:tr>
      <w:tr w:rsidR="009F69E0" w14:paraId="63BF0983" w14:textId="77777777" w:rsidTr="009968BD">
        <w:tc>
          <w:tcPr>
            <w:tcW w:w="4361" w:type="dxa"/>
          </w:tcPr>
          <w:p w14:paraId="39B51B1B" w14:textId="77777777" w:rsidR="009F69E0" w:rsidRDefault="009F69E0" w:rsidP="00C05AE4">
            <w:pPr>
              <w:pStyle w:val="NoSpacing"/>
            </w:pPr>
          </w:p>
          <w:p w14:paraId="73DDB133" w14:textId="77777777" w:rsidR="009F69E0" w:rsidRDefault="009F69E0" w:rsidP="00C05AE4">
            <w:pPr>
              <w:pStyle w:val="NoSpacing"/>
            </w:pPr>
            <w:r>
              <w:t>New or amendment:</w:t>
            </w:r>
          </w:p>
        </w:tc>
        <w:tc>
          <w:tcPr>
            <w:tcW w:w="9526" w:type="dxa"/>
          </w:tcPr>
          <w:p w14:paraId="1AE3DBEE" w14:textId="77777777" w:rsidR="009056B8" w:rsidRPr="00D4157F" w:rsidRDefault="009056B8" w:rsidP="00C05AE4">
            <w:pPr>
              <w:pStyle w:val="NoSpacing"/>
              <w:rPr>
                <w:rFonts w:cs="Arial"/>
                <w:szCs w:val="24"/>
              </w:rPr>
            </w:pPr>
          </w:p>
          <w:p w14:paraId="3278EA3E" w14:textId="4FB2859F" w:rsidR="009056B8" w:rsidRPr="00D4157F" w:rsidRDefault="00D4157F" w:rsidP="00E21B71">
            <w:pPr>
              <w:pStyle w:val="NoSpacing"/>
              <w:rPr>
                <w:rFonts w:cs="Arial"/>
                <w:szCs w:val="24"/>
              </w:rPr>
            </w:pPr>
            <w:r w:rsidRPr="00D4157F">
              <w:rPr>
                <w:rFonts w:cs="Arial"/>
                <w:szCs w:val="24"/>
              </w:rPr>
              <w:t xml:space="preserve">New </w:t>
            </w:r>
          </w:p>
        </w:tc>
      </w:tr>
      <w:tr w:rsidR="009F69E0" w14:paraId="320E2690" w14:textId="77777777" w:rsidTr="009968BD">
        <w:tc>
          <w:tcPr>
            <w:tcW w:w="4361" w:type="dxa"/>
          </w:tcPr>
          <w:p w14:paraId="32DCE140" w14:textId="77777777" w:rsidR="00304012" w:rsidRDefault="00304012" w:rsidP="00C05AE4">
            <w:pPr>
              <w:pStyle w:val="NoSpacing"/>
            </w:pPr>
          </w:p>
          <w:p w14:paraId="5EBA14FD" w14:textId="77777777" w:rsidR="009F69E0" w:rsidRDefault="009F69E0" w:rsidP="00C05AE4">
            <w:pPr>
              <w:pStyle w:val="NoSpacing"/>
            </w:pPr>
            <w:r>
              <w:t>Intended aims/outcomes of the policy/procedure/function:</w:t>
            </w:r>
          </w:p>
        </w:tc>
        <w:tc>
          <w:tcPr>
            <w:tcW w:w="9526" w:type="dxa"/>
          </w:tcPr>
          <w:p w14:paraId="08807843" w14:textId="77777777" w:rsidR="009F69E0" w:rsidRPr="007C1D91" w:rsidRDefault="00D4157F" w:rsidP="001F50CF">
            <w:pPr>
              <w:pStyle w:val="NormalWeb"/>
              <w:jc w:val="both"/>
              <w:rPr>
                <w:rFonts w:ascii="Arial" w:hAnsi="Arial" w:cs="Arial"/>
              </w:rPr>
            </w:pPr>
            <w:r w:rsidRPr="007C1D91">
              <w:rPr>
                <w:rFonts w:ascii="Arial" w:hAnsi="Arial" w:cs="Arial"/>
              </w:rPr>
              <w:t>This Equality Impact Assessment (EIA) evaluates the potential implications of the proposed redesign of the University’s academic framework on students and staff. The key changes include transitioning from a three-term to a two-semester model and moving to a structure with smaller, more focused modules. This assessment aims to ensure that these changes promote inclusivity, fairness, and accessibility, in line with the University’s commitment to equality and diversity.</w:t>
            </w:r>
          </w:p>
          <w:p w14:paraId="23C4055B" w14:textId="44A52228" w:rsidR="00D54FE5" w:rsidRPr="00D4157F" w:rsidRDefault="00D54FE5" w:rsidP="001F50CF">
            <w:pPr>
              <w:pStyle w:val="NormalWeb"/>
              <w:jc w:val="both"/>
              <w:rPr>
                <w:rFonts w:ascii="Arial" w:hAnsi="Arial" w:cs="Arial"/>
              </w:rPr>
            </w:pPr>
            <w:r w:rsidRPr="007C1D91">
              <w:rPr>
                <w:rFonts w:ascii="Arial" w:hAnsi="Arial" w:cs="Arial"/>
              </w:rPr>
              <w:t>The transition requires significant curriculum redevelopment, documentation updates, and adjustments to teaching schedules.</w:t>
            </w:r>
            <w:r w:rsidR="007C1D91" w:rsidRPr="007C1D91">
              <w:rPr>
                <w:rFonts w:ascii="Arial" w:hAnsi="Arial" w:cs="Arial"/>
              </w:rPr>
              <w:t xml:space="preserve">  </w:t>
            </w:r>
            <w:r w:rsidRPr="007C1D91">
              <w:rPr>
                <w:rFonts w:ascii="Arial" w:hAnsi="Arial" w:cs="Arial"/>
              </w:rPr>
              <w:t xml:space="preserve">Completion of the majority of documentation </w:t>
            </w:r>
            <w:r w:rsidR="007C1D91" w:rsidRPr="007C1D91">
              <w:rPr>
                <w:rFonts w:ascii="Arial" w:hAnsi="Arial" w:cs="Arial"/>
              </w:rPr>
              <w:t xml:space="preserve">will be </w:t>
            </w:r>
            <w:r w:rsidRPr="007C1D91">
              <w:rPr>
                <w:rFonts w:ascii="Arial" w:hAnsi="Arial" w:cs="Arial"/>
              </w:rPr>
              <w:t xml:space="preserve">at a central level. Academic teams </w:t>
            </w:r>
            <w:r w:rsidR="007C1D91" w:rsidRPr="007C1D91">
              <w:rPr>
                <w:rFonts w:ascii="Arial" w:hAnsi="Arial" w:cs="Arial"/>
              </w:rPr>
              <w:t xml:space="preserve">will </w:t>
            </w:r>
            <w:r w:rsidRPr="007C1D91">
              <w:rPr>
                <w:rFonts w:ascii="Arial" w:hAnsi="Arial" w:cs="Arial"/>
              </w:rPr>
              <w:t>only</w:t>
            </w:r>
            <w:r w:rsidR="007C1D91" w:rsidRPr="007C1D91">
              <w:rPr>
                <w:rFonts w:ascii="Arial" w:hAnsi="Arial" w:cs="Arial"/>
              </w:rPr>
              <w:t xml:space="preserve"> be required to provide</w:t>
            </w:r>
            <w:r w:rsidRPr="007C1D91">
              <w:rPr>
                <w:rFonts w:ascii="Arial" w:hAnsi="Arial" w:cs="Arial"/>
              </w:rPr>
              <w:t xml:space="preserve"> essential information which can be inserted into curriculum documentation by support teams. </w:t>
            </w:r>
            <w:r w:rsidR="007C1D91" w:rsidRPr="007C1D91">
              <w:rPr>
                <w:rFonts w:ascii="Arial" w:hAnsi="Arial" w:cs="Arial"/>
              </w:rPr>
              <w:t>The c</w:t>
            </w:r>
            <w:r w:rsidRPr="007C1D91">
              <w:rPr>
                <w:rFonts w:ascii="Arial" w:hAnsi="Arial" w:cs="Arial"/>
              </w:rPr>
              <w:t xml:space="preserve">urriculum project </w:t>
            </w:r>
            <w:r w:rsidR="007C1D91" w:rsidRPr="007C1D91">
              <w:rPr>
                <w:rFonts w:ascii="Arial" w:hAnsi="Arial" w:cs="Arial"/>
              </w:rPr>
              <w:t>will</w:t>
            </w:r>
            <w:r w:rsidRPr="007C1D91">
              <w:rPr>
                <w:rFonts w:ascii="Arial" w:hAnsi="Arial" w:cs="Arial"/>
              </w:rPr>
              <w:t xml:space="preserve"> be undertaken over a period of three years with only changes to Level F and C undertaken for September 2025.</w:t>
            </w:r>
          </w:p>
        </w:tc>
      </w:tr>
      <w:tr w:rsidR="009F69E0" w14:paraId="146BC50E" w14:textId="77777777" w:rsidTr="009968BD">
        <w:tc>
          <w:tcPr>
            <w:tcW w:w="4361" w:type="dxa"/>
          </w:tcPr>
          <w:p w14:paraId="63EA261F" w14:textId="77777777" w:rsidR="009F69E0" w:rsidRDefault="009F69E0" w:rsidP="00C05AE4">
            <w:pPr>
              <w:pStyle w:val="NoSpacing"/>
            </w:pPr>
          </w:p>
          <w:p w14:paraId="28C55BDD" w14:textId="77777777" w:rsidR="009F69E0" w:rsidRDefault="009F69E0" w:rsidP="00C05AE4">
            <w:pPr>
              <w:pStyle w:val="NoSpacing"/>
            </w:pPr>
            <w:r>
              <w:t>Senior Manager responsible:</w:t>
            </w:r>
          </w:p>
        </w:tc>
        <w:tc>
          <w:tcPr>
            <w:tcW w:w="9526" w:type="dxa"/>
          </w:tcPr>
          <w:p w14:paraId="3661F6A4" w14:textId="77777777" w:rsidR="00304012" w:rsidRPr="00D4157F" w:rsidRDefault="00304012" w:rsidP="00C05AE4">
            <w:pPr>
              <w:pStyle w:val="NoSpacing"/>
              <w:rPr>
                <w:rFonts w:cs="Arial"/>
                <w:szCs w:val="24"/>
              </w:rPr>
            </w:pPr>
          </w:p>
          <w:p w14:paraId="673FC4BF" w14:textId="53575120" w:rsidR="00304012" w:rsidRPr="00D4157F" w:rsidRDefault="00D4157F" w:rsidP="00582C83">
            <w:pPr>
              <w:pStyle w:val="NoSpacing"/>
              <w:rPr>
                <w:rFonts w:cs="Arial"/>
                <w:szCs w:val="24"/>
              </w:rPr>
            </w:pPr>
            <w:r w:rsidRPr="00D4157F">
              <w:rPr>
                <w:rFonts w:cs="Arial"/>
                <w:szCs w:val="24"/>
              </w:rPr>
              <w:t xml:space="preserve">Dr Penny </w:t>
            </w:r>
            <w:proofErr w:type="spellStart"/>
            <w:r w:rsidRPr="00D4157F">
              <w:rPr>
                <w:rFonts w:cs="Arial"/>
                <w:szCs w:val="24"/>
              </w:rPr>
              <w:t>Haughan</w:t>
            </w:r>
            <w:proofErr w:type="spellEnd"/>
            <w:r w:rsidRPr="00D4157F">
              <w:rPr>
                <w:rFonts w:cs="Arial"/>
                <w:szCs w:val="24"/>
              </w:rPr>
              <w:t xml:space="preserve"> </w:t>
            </w:r>
          </w:p>
        </w:tc>
      </w:tr>
    </w:tbl>
    <w:p w14:paraId="0EFA9865" w14:textId="77777777" w:rsidR="008B049B" w:rsidRDefault="008B049B" w:rsidP="00C05AE4">
      <w:pPr>
        <w:pStyle w:val="NoSpacing"/>
      </w:pPr>
    </w:p>
    <w:p w14:paraId="3EB50806" w14:textId="77777777" w:rsidR="00A722E5" w:rsidRDefault="00A722E5" w:rsidP="00C05AE4">
      <w:pPr>
        <w:pStyle w:val="NoSpacing"/>
        <w:rPr>
          <w:b/>
        </w:rPr>
      </w:pPr>
    </w:p>
    <w:p w14:paraId="4201A3E6" w14:textId="77777777" w:rsidR="009F69E0" w:rsidRDefault="009F69E0" w:rsidP="00C05AE4">
      <w:pPr>
        <w:pStyle w:val="NoSpacing"/>
        <w:rPr>
          <w:b/>
        </w:rPr>
      </w:pPr>
      <w:r w:rsidRPr="00FD17D1">
        <w:rPr>
          <w:b/>
        </w:rPr>
        <w:t>2</w:t>
      </w:r>
      <w:r w:rsidRPr="00FD17D1">
        <w:rPr>
          <w:b/>
        </w:rPr>
        <w:tab/>
        <w:t>Is the policy/procedure/function equality relevant?</w:t>
      </w:r>
    </w:p>
    <w:p w14:paraId="53F9809A" w14:textId="77777777" w:rsidR="00A10F64" w:rsidRPr="00FD17D1" w:rsidRDefault="00A10F64" w:rsidP="00C05AE4">
      <w:pPr>
        <w:pStyle w:val="NoSpacing"/>
        <w:rPr>
          <w:b/>
        </w:rPr>
      </w:pPr>
    </w:p>
    <w:p w14:paraId="25C769D1" w14:textId="77777777" w:rsidR="009F69E0" w:rsidRDefault="009F69E0" w:rsidP="00C05AE4">
      <w:pPr>
        <w:pStyle w:val="NoSpacing"/>
      </w:pPr>
    </w:p>
    <w:tbl>
      <w:tblPr>
        <w:tblStyle w:val="TableGrid"/>
        <w:tblW w:w="0" w:type="auto"/>
        <w:tblLook w:val="04A0" w:firstRow="1" w:lastRow="0" w:firstColumn="1" w:lastColumn="0" w:noHBand="0" w:noVBand="1"/>
      </w:tblPr>
      <w:tblGrid>
        <w:gridCol w:w="4361"/>
        <w:gridCol w:w="9526"/>
      </w:tblGrid>
      <w:tr w:rsidR="009F69E0" w14:paraId="096E68F9" w14:textId="77777777" w:rsidTr="003923AC">
        <w:tc>
          <w:tcPr>
            <w:tcW w:w="4361" w:type="dxa"/>
          </w:tcPr>
          <w:p w14:paraId="6E33308B" w14:textId="77777777" w:rsidR="00304012" w:rsidRDefault="00304012" w:rsidP="00C05AE4">
            <w:pPr>
              <w:pStyle w:val="NoSpacing"/>
            </w:pPr>
          </w:p>
          <w:p w14:paraId="3CDA387C" w14:textId="77777777" w:rsidR="009F69E0" w:rsidRDefault="009F69E0" w:rsidP="00C05AE4">
            <w:pPr>
              <w:pStyle w:val="NoSpacing"/>
            </w:pPr>
            <w:r>
              <w:t>Does the policy/procedure/function involve or have consequences for staff, students or others?  If yes, state who will be affected.</w:t>
            </w:r>
          </w:p>
          <w:p w14:paraId="1AB5CDC8" w14:textId="77777777" w:rsidR="007B24C3" w:rsidRDefault="007B24C3" w:rsidP="00C05AE4">
            <w:pPr>
              <w:pStyle w:val="NoSpacing"/>
            </w:pPr>
          </w:p>
        </w:tc>
        <w:tc>
          <w:tcPr>
            <w:tcW w:w="9526" w:type="dxa"/>
          </w:tcPr>
          <w:p w14:paraId="4BA4383D" w14:textId="77777777" w:rsidR="00304012" w:rsidRDefault="00304012" w:rsidP="00C05AE4">
            <w:pPr>
              <w:pStyle w:val="NoSpacing"/>
            </w:pPr>
          </w:p>
          <w:p w14:paraId="760E5A0B" w14:textId="07E44D4D" w:rsidR="004E37C5" w:rsidRDefault="00A938AD" w:rsidP="00CB5CD5">
            <w:pPr>
              <w:pStyle w:val="NoSpacing"/>
            </w:pPr>
            <w:r>
              <w:t xml:space="preserve">Students, academic staff and professional service teams </w:t>
            </w:r>
          </w:p>
          <w:p w14:paraId="1FA148B1" w14:textId="77777777" w:rsidR="00937DBE" w:rsidRDefault="00937DBE" w:rsidP="001A354D">
            <w:pPr>
              <w:pStyle w:val="NoSpacing"/>
            </w:pPr>
          </w:p>
        </w:tc>
      </w:tr>
    </w:tbl>
    <w:p w14:paraId="6BBDD48C" w14:textId="77777777" w:rsidR="009F69E0" w:rsidRDefault="009F69E0" w:rsidP="00C05AE4">
      <w:pPr>
        <w:pStyle w:val="NoSpacing"/>
      </w:pPr>
    </w:p>
    <w:p w14:paraId="6C8FF29F" w14:textId="77777777" w:rsidR="00A722E5" w:rsidRDefault="00A722E5" w:rsidP="00C05AE4">
      <w:pPr>
        <w:pStyle w:val="NoSpacing"/>
        <w:rPr>
          <w:b/>
        </w:rPr>
      </w:pPr>
    </w:p>
    <w:p w14:paraId="695BB006" w14:textId="77777777" w:rsidR="00FD17D1" w:rsidRPr="001825CD" w:rsidRDefault="00FD17D1" w:rsidP="00C05AE4">
      <w:pPr>
        <w:pStyle w:val="NoSpacing"/>
        <w:rPr>
          <w:b/>
        </w:rPr>
      </w:pPr>
      <w:r w:rsidRPr="001825CD">
        <w:rPr>
          <w:b/>
        </w:rPr>
        <w:t>3</w:t>
      </w:r>
      <w:r w:rsidRPr="001825CD">
        <w:rPr>
          <w:b/>
        </w:rPr>
        <w:tab/>
        <w:t xml:space="preserve">What </w:t>
      </w:r>
      <w:proofErr w:type="gramStart"/>
      <w:r w:rsidRPr="001825CD">
        <w:rPr>
          <w:b/>
        </w:rPr>
        <w:t>evidence</w:t>
      </w:r>
      <w:proofErr w:type="gramEnd"/>
      <w:r w:rsidRPr="001825CD">
        <w:rPr>
          <w:b/>
        </w:rPr>
        <w:t xml:space="preserve"> has been used to help inform this analysis?</w:t>
      </w:r>
    </w:p>
    <w:p w14:paraId="7D7CD687" w14:textId="77777777" w:rsidR="00FD17D1" w:rsidRDefault="00FD17D1" w:rsidP="00C05AE4">
      <w:pPr>
        <w:pStyle w:val="NoSpacing"/>
      </w:pPr>
    </w:p>
    <w:tbl>
      <w:tblPr>
        <w:tblStyle w:val="TableGrid"/>
        <w:tblW w:w="13887" w:type="dxa"/>
        <w:tblLook w:val="04A0" w:firstRow="1" w:lastRow="0" w:firstColumn="1" w:lastColumn="0" w:noHBand="0" w:noVBand="1"/>
      </w:tblPr>
      <w:tblGrid>
        <w:gridCol w:w="13887"/>
      </w:tblGrid>
      <w:tr w:rsidR="00937DBE" w14:paraId="22789BEC" w14:textId="77777777" w:rsidTr="003923AC">
        <w:tc>
          <w:tcPr>
            <w:tcW w:w="13887" w:type="dxa"/>
          </w:tcPr>
          <w:p w14:paraId="393EFF04" w14:textId="77777777" w:rsidR="00937DBE" w:rsidRDefault="00937DBE" w:rsidP="00C05AE4">
            <w:pPr>
              <w:pStyle w:val="NoSpacing"/>
              <w:rPr>
                <w:i/>
              </w:rPr>
            </w:pPr>
            <w:r w:rsidRPr="00FD17D1">
              <w:rPr>
                <w:i/>
              </w:rPr>
              <w:t>Evidence</w:t>
            </w:r>
            <w:r>
              <w:rPr>
                <w:i/>
              </w:rPr>
              <w:t xml:space="preserve"> relating to all protected characteristics</w:t>
            </w:r>
          </w:p>
          <w:p w14:paraId="40CA0D9A" w14:textId="77777777" w:rsidR="00937DBE" w:rsidRPr="00FD17D1" w:rsidRDefault="00937DBE" w:rsidP="00C05AE4">
            <w:pPr>
              <w:pStyle w:val="NoSpacing"/>
              <w:rPr>
                <w:i/>
              </w:rPr>
            </w:pPr>
          </w:p>
        </w:tc>
      </w:tr>
      <w:tr w:rsidR="00937DBE" w14:paraId="4A471820" w14:textId="77777777" w:rsidTr="003923AC">
        <w:tc>
          <w:tcPr>
            <w:tcW w:w="13887" w:type="dxa"/>
          </w:tcPr>
          <w:p w14:paraId="60C6EB8B" w14:textId="6B45B3C7" w:rsidR="00D54FE5" w:rsidRPr="00D54FE5" w:rsidRDefault="00B15811" w:rsidP="00D54FE5">
            <w:pPr>
              <w:pStyle w:val="NormalWeb"/>
              <w:jc w:val="both"/>
              <w:rPr>
                <w:rFonts w:ascii="Arial" w:hAnsi="Arial" w:cs="Arial"/>
              </w:rPr>
            </w:pPr>
            <w:r w:rsidRPr="00B15811">
              <w:rPr>
                <w:rStyle w:val="Strong"/>
                <w:rFonts w:ascii="Arial" w:hAnsi="Arial" w:cs="Arial"/>
              </w:rPr>
              <w:t>Student and Staff Consultation</w:t>
            </w:r>
            <w:r w:rsidRPr="00B15811">
              <w:rPr>
                <w:rFonts w:ascii="Arial" w:hAnsi="Arial" w:cs="Arial"/>
              </w:rPr>
              <w:t xml:space="preserve">: </w:t>
            </w:r>
            <w:r w:rsidR="00D54FE5" w:rsidRPr="00D54FE5">
              <w:rPr>
                <w:rFonts w:ascii="Arial" w:hAnsi="Arial" w:cs="Arial"/>
              </w:rPr>
              <w:t xml:space="preserve">There will be continuous engagement with students and staff, with a particular focus on underrepresented groups, throughout the implementation process. The consultation revealed no evidence of potential equality concerns or differential impact. A </w:t>
            </w:r>
            <w:r w:rsidR="00742F48">
              <w:rPr>
                <w:rFonts w:ascii="Arial" w:hAnsi="Arial" w:cs="Arial"/>
              </w:rPr>
              <w:t>Project Board</w:t>
            </w:r>
            <w:r w:rsidR="00D54FE5" w:rsidRPr="00D54FE5">
              <w:rPr>
                <w:rFonts w:ascii="Arial" w:hAnsi="Arial" w:cs="Arial"/>
              </w:rPr>
              <w:t>, comprising staff and SU representatives, has been established to support this</w:t>
            </w:r>
            <w:r w:rsidR="00D54FE5">
              <w:rPr>
                <w:rFonts w:ascii="Arial" w:hAnsi="Arial" w:cs="Arial"/>
              </w:rPr>
              <w:t xml:space="preserve">. </w:t>
            </w:r>
          </w:p>
        </w:tc>
      </w:tr>
    </w:tbl>
    <w:p w14:paraId="24755B4B" w14:textId="77777777" w:rsidR="00A722E5" w:rsidRDefault="00A722E5" w:rsidP="00A722E5">
      <w:pPr>
        <w:pStyle w:val="NoSpacing"/>
      </w:pPr>
    </w:p>
    <w:p w14:paraId="453C13A7" w14:textId="77777777" w:rsidR="007B24C3" w:rsidRPr="001825CD" w:rsidRDefault="00A722E5" w:rsidP="008E4DA7">
      <w:pPr>
        <w:pStyle w:val="NoSpacing"/>
        <w:ind w:left="720" w:hanging="720"/>
        <w:rPr>
          <w:b/>
        </w:rPr>
      </w:pPr>
      <w:r>
        <w:t xml:space="preserve">4 </w:t>
      </w:r>
      <w:r>
        <w:tab/>
      </w:r>
      <w:r w:rsidR="007B24C3">
        <w:rPr>
          <w:b/>
        </w:rPr>
        <w:t>With reference to the data, what are the equality implications of the policy/procedure/function under the following headings?</w:t>
      </w:r>
    </w:p>
    <w:p w14:paraId="2CCACB7B" w14:textId="77777777" w:rsidR="007B24C3" w:rsidRDefault="007B24C3" w:rsidP="007B24C3">
      <w:pPr>
        <w:pStyle w:val="NoSpacing"/>
      </w:pPr>
    </w:p>
    <w:tbl>
      <w:tblPr>
        <w:tblStyle w:val="TableGrid"/>
        <w:tblW w:w="0" w:type="auto"/>
        <w:tblLayout w:type="fixed"/>
        <w:tblLook w:val="04A0" w:firstRow="1" w:lastRow="0" w:firstColumn="1" w:lastColumn="0" w:noHBand="0" w:noVBand="1"/>
      </w:tblPr>
      <w:tblGrid>
        <w:gridCol w:w="1247"/>
        <w:gridCol w:w="7537"/>
        <w:gridCol w:w="5164"/>
      </w:tblGrid>
      <w:tr w:rsidR="0065311B" w14:paraId="08B8D435" w14:textId="77777777" w:rsidTr="004B4CD4">
        <w:tc>
          <w:tcPr>
            <w:tcW w:w="1247" w:type="dxa"/>
          </w:tcPr>
          <w:p w14:paraId="7AECF10A" w14:textId="77777777" w:rsidR="00A722E5" w:rsidRPr="00FD17D1" w:rsidRDefault="00A722E5" w:rsidP="007B24C3">
            <w:pPr>
              <w:pStyle w:val="NoSpacing"/>
              <w:rPr>
                <w:i/>
              </w:rPr>
            </w:pPr>
            <w:r w:rsidRPr="00FD17D1">
              <w:rPr>
                <w:i/>
              </w:rPr>
              <w:t>Characteristic</w:t>
            </w:r>
          </w:p>
        </w:tc>
        <w:tc>
          <w:tcPr>
            <w:tcW w:w="7537" w:type="dxa"/>
          </w:tcPr>
          <w:p w14:paraId="6EE81826" w14:textId="77777777" w:rsidR="00A722E5" w:rsidRPr="00FD17D1" w:rsidRDefault="009A2936" w:rsidP="007B24C3">
            <w:pPr>
              <w:pStyle w:val="NoSpacing"/>
              <w:rPr>
                <w:i/>
              </w:rPr>
            </w:pPr>
            <w:r>
              <w:rPr>
                <w:i/>
              </w:rPr>
              <w:t>Impact</w:t>
            </w:r>
          </w:p>
        </w:tc>
        <w:tc>
          <w:tcPr>
            <w:tcW w:w="5164" w:type="dxa"/>
          </w:tcPr>
          <w:p w14:paraId="58F34C09" w14:textId="77777777" w:rsidR="00A722E5" w:rsidRPr="00FD17D1" w:rsidRDefault="009A2936" w:rsidP="007B24C3">
            <w:pPr>
              <w:pStyle w:val="NoSpacing"/>
              <w:rPr>
                <w:i/>
              </w:rPr>
            </w:pPr>
            <w:r>
              <w:rPr>
                <w:i/>
              </w:rPr>
              <w:t xml:space="preserve">Mitigation/Action </w:t>
            </w:r>
          </w:p>
        </w:tc>
      </w:tr>
    </w:tbl>
    <w:p w14:paraId="35B1AE0D" w14:textId="77777777" w:rsidR="00284D5A" w:rsidRDefault="00284D5A"/>
    <w:tbl>
      <w:tblPr>
        <w:tblStyle w:val="TableGrid"/>
        <w:tblW w:w="0" w:type="auto"/>
        <w:tblLayout w:type="fixed"/>
        <w:tblLook w:val="04A0" w:firstRow="1" w:lastRow="0" w:firstColumn="1" w:lastColumn="0" w:noHBand="0" w:noVBand="1"/>
      </w:tblPr>
      <w:tblGrid>
        <w:gridCol w:w="1247"/>
        <w:gridCol w:w="7537"/>
        <w:gridCol w:w="5164"/>
      </w:tblGrid>
      <w:tr w:rsidR="0065311B" w14:paraId="12FA8312" w14:textId="77777777" w:rsidTr="00284D5A">
        <w:tc>
          <w:tcPr>
            <w:tcW w:w="1247" w:type="dxa"/>
          </w:tcPr>
          <w:p w14:paraId="7C6EF66C" w14:textId="77777777" w:rsidR="00A722E5" w:rsidRDefault="00494ABE" w:rsidP="007B24C3">
            <w:pPr>
              <w:pStyle w:val="NoSpacing"/>
              <w:rPr>
                <w:sz w:val="20"/>
                <w:szCs w:val="20"/>
              </w:rPr>
            </w:pPr>
            <w:r>
              <w:rPr>
                <w:sz w:val="20"/>
                <w:szCs w:val="20"/>
              </w:rPr>
              <w:t>Age</w:t>
            </w:r>
          </w:p>
          <w:p w14:paraId="47F074EF" w14:textId="77777777" w:rsidR="008E4DA7" w:rsidRPr="00A722E5" w:rsidRDefault="008E4DA7" w:rsidP="007B24C3">
            <w:pPr>
              <w:pStyle w:val="NoSpacing"/>
              <w:rPr>
                <w:sz w:val="20"/>
                <w:szCs w:val="20"/>
              </w:rPr>
            </w:pPr>
          </w:p>
        </w:tc>
        <w:tc>
          <w:tcPr>
            <w:tcW w:w="7537" w:type="dxa"/>
          </w:tcPr>
          <w:p w14:paraId="49350CA2" w14:textId="461AAE85" w:rsidR="00A938AD" w:rsidRPr="00B15811" w:rsidRDefault="00A938AD" w:rsidP="00EC1E76">
            <w:pPr>
              <w:pStyle w:val="NormalWeb"/>
              <w:jc w:val="both"/>
              <w:rPr>
                <w:rFonts w:ascii="Arial" w:hAnsi="Arial" w:cs="Arial"/>
              </w:rPr>
            </w:pPr>
            <w:r w:rsidRPr="00B15811">
              <w:rPr>
                <w:rStyle w:val="Strong"/>
                <w:rFonts w:ascii="Arial" w:hAnsi="Arial" w:cs="Arial"/>
              </w:rPr>
              <w:t>Potential Impact on Older Staff</w:t>
            </w:r>
            <w:r w:rsidRPr="00B15811">
              <w:rPr>
                <w:rFonts w:ascii="Arial" w:hAnsi="Arial" w:cs="Arial"/>
              </w:rPr>
              <w:t xml:space="preserve">: Staff members who have been accustomed to a long-standing academic structure may experience greater difficulty adapting. </w:t>
            </w:r>
          </w:p>
        </w:tc>
        <w:tc>
          <w:tcPr>
            <w:tcW w:w="5164" w:type="dxa"/>
          </w:tcPr>
          <w:p w14:paraId="08A5EDAD" w14:textId="77777777" w:rsidR="00A938AD" w:rsidRPr="00B15811" w:rsidRDefault="00A938AD" w:rsidP="00EC1E76">
            <w:pPr>
              <w:pStyle w:val="NormalWeb"/>
              <w:jc w:val="both"/>
              <w:rPr>
                <w:rFonts w:ascii="Arial" w:hAnsi="Arial" w:cs="Arial"/>
              </w:rPr>
            </w:pPr>
            <w:r w:rsidRPr="00B15811">
              <w:rPr>
                <w:rStyle w:val="Emphasis"/>
                <w:rFonts w:ascii="Arial" w:hAnsi="Arial" w:cs="Arial"/>
              </w:rPr>
              <w:t>Mitigation:</w:t>
            </w:r>
            <w:r w:rsidRPr="00B15811">
              <w:rPr>
                <w:rFonts w:ascii="Arial" w:hAnsi="Arial" w:cs="Arial"/>
              </w:rPr>
              <w:t xml:space="preserve"> Offering tailored training and phased transition support.</w:t>
            </w:r>
          </w:p>
          <w:p w14:paraId="13327D38" w14:textId="77777777" w:rsidR="00913B09" w:rsidRPr="00B15811" w:rsidRDefault="00913B09" w:rsidP="00EC1E76">
            <w:pPr>
              <w:pStyle w:val="NoSpacing"/>
              <w:ind w:left="5"/>
              <w:jc w:val="both"/>
              <w:rPr>
                <w:rFonts w:cs="Arial"/>
              </w:rPr>
            </w:pPr>
          </w:p>
        </w:tc>
      </w:tr>
      <w:tr w:rsidR="0065311B" w14:paraId="407CC163" w14:textId="77777777" w:rsidTr="004B4CD4">
        <w:tc>
          <w:tcPr>
            <w:tcW w:w="1247" w:type="dxa"/>
          </w:tcPr>
          <w:p w14:paraId="2F830615" w14:textId="77777777" w:rsidR="00A722E5" w:rsidRPr="00A722E5" w:rsidRDefault="00A722E5" w:rsidP="007B24C3">
            <w:pPr>
              <w:pStyle w:val="NoSpacing"/>
              <w:rPr>
                <w:sz w:val="20"/>
                <w:szCs w:val="20"/>
              </w:rPr>
            </w:pPr>
            <w:r w:rsidRPr="00A722E5">
              <w:rPr>
                <w:sz w:val="20"/>
                <w:szCs w:val="20"/>
              </w:rPr>
              <w:t>Disability</w:t>
            </w:r>
          </w:p>
          <w:p w14:paraId="508D247A" w14:textId="77777777" w:rsidR="00A722E5" w:rsidRDefault="00A722E5" w:rsidP="007B24C3">
            <w:pPr>
              <w:pStyle w:val="NoSpacing"/>
              <w:rPr>
                <w:sz w:val="20"/>
                <w:szCs w:val="20"/>
              </w:rPr>
            </w:pPr>
          </w:p>
          <w:p w14:paraId="51BD35C9" w14:textId="77777777" w:rsidR="008E4DA7" w:rsidRPr="00A722E5" w:rsidRDefault="008E4DA7" w:rsidP="007B24C3">
            <w:pPr>
              <w:pStyle w:val="NoSpacing"/>
              <w:rPr>
                <w:sz w:val="20"/>
                <w:szCs w:val="20"/>
              </w:rPr>
            </w:pPr>
          </w:p>
        </w:tc>
        <w:tc>
          <w:tcPr>
            <w:tcW w:w="7537" w:type="dxa"/>
          </w:tcPr>
          <w:p w14:paraId="5940EFE2" w14:textId="52858049" w:rsidR="00261837" w:rsidRPr="00EC1E76" w:rsidRDefault="00A938AD" w:rsidP="00EC1E76">
            <w:pPr>
              <w:pStyle w:val="NormalWeb"/>
              <w:jc w:val="both"/>
              <w:rPr>
                <w:rFonts w:ascii="Arial" w:hAnsi="Arial" w:cs="Arial"/>
              </w:rPr>
            </w:pPr>
            <w:r w:rsidRPr="00EC1E76">
              <w:rPr>
                <w:rStyle w:val="Strong"/>
                <w:rFonts w:ascii="Arial" w:hAnsi="Arial" w:cs="Arial"/>
              </w:rPr>
              <w:t>Impact on Students with Disabilities</w:t>
            </w:r>
            <w:r w:rsidRPr="00EC1E76">
              <w:rPr>
                <w:rFonts w:ascii="Arial" w:hAnsi="Arial" w:cs="Arial"/>
              </w:rPr>
              <w:t xml:space="preserve">: Changes </w:t>
            </w:r>
            <w:r w:rsidR="002D28FA" w:rsidRPr="00EC1E76">
              <w:rPr>
                <w:rFonts w:ascii="Arial" w:hAnsi="Arial" w:cs="Arial"/>
              </w:rPr>
              <w:t xml:space="preserve">to the academic structure may necessitate adjustments to LSPs to ensure that students with disabilities continue to receive appropriate adjustments, </w:t>
            </w:r>
            <w:r w:rsidR="002D28FA" w:rsidRPr="00EC1E76">
              <w:rPr>
                <w:rFonts w:ascii="Arial" w:hAnsi="Arial" w:cs="Arial"/>
              </w:rPr>
              <w:lastRenderedPageBreak/>
              <w:t xml:space="preserve">such as alterations in teaching methods, assessment formats and classroom accessibility. </w:t>
            </w:r>
          </w:p>
          <w:p w14:paraId="3A892B61" w14:textId="77777777" w:rsidR="00EC1E76" w:rsidRDefault="00EC1E76" w:rsidP="00EC1E76">
            <w:pPr>
              <w:pStyle w:val="NormalWeb"/>
              <w:jc w:val="both"/>
              <w:rPr>
                <w:rFonts w:ascii="Arial" w:hAnsi="Arial" w:cs="Arial"/>
              </w:rPr>
            </w:pPr>
            <w:r w:rsidRPr="00EC1E76">
              <w:rPr>
                <w:rStyle w:val="Strong"/>
                <w:rFonts w:ascii="Arial" w:hAnsi="Arial" w:cs="Arial"/>
              </w:rPr>
              <w:t>Impact on Staff with Disabilities</w:t>
            </w:r>
            <w:r w:rsidRPr="00EC1E76">
              <w:rPr>
                <w:rFonts w:ascii="Arial" w:hAnsi="Arial" w:cs="Arial"/>
              </w:rPr>
              <w:t xml:space="preserve">: Changes in the academic structure may </w:t>
            </w:r>
            <w:r w:rsidRPr="00EC1E76">
              <w:rPr>
                <w:rStyle w:val="Strong"/>
                <w:rFonts w:ascii="Arial" w:hAnsi="Arial" w:cs="Arial"/>
                <w:b w:val="0"/>
                <w:bCs w:val="0"/>
              </w:rPr>
              <w:t>require</w:t>
            </w:r>
            <w:r w:rsidRPr="00EC1E76">
              <w:rPr>
                <w:rFonts w:ascii="Arial" w:hAnsi="Arial" w:cs="Arial"/>
              </w:rPr>
              <w:t xml:space="preserve"> adjustments to working arrangements to ensure that staff with disabilities can continue to perform their roles effectively. These modifications </w:t>
            </w:r>
            <w:r>
              <w:rPr>
                <w:rFonts w:ascii="Arial" w:hAnsi="Arial" w:cs="Arial"/>
              </w:rPr>
              <w:t>may</w:t>
            </w:r>
            <w:r w:rsidRPr="00EC1E76">
              <w:rPr>
                <w:rFonts w:ascii="Arial" w:hAnsi="Arial" w:cs="Arial"/>
              </w:rPr>
              <w:t xml:space="preserve"> include alterations in teaching formats, physical workspace accessibility, or administrative responsibilities. </w:t>
            </w:r>
          </w:p>
          <w:p w14:paraId="62C53536" w14:textId="380BDF7A" w:rsidR="001749F1" w:rsidRPr="00EC1E76" w:rsidRDefault="001749F1" w:rsidP="00EC1E76">
            <w:pPr>
              <w:pStyle w:val="NormalWeb"/>
              <w:jc w:val="both"/>
              <w:rPr>
                <w:rFonts w:ascii="Arial" w:hAnsi="Arial" w:cs="Arial"/>
              </w:rPr>
            </w:pPr>
          </w:p>
        </w:tc>
        <w:tc>
          <w:tcPr>
            <w:tcW w:w="5164" w:type="dxa"/>
          </w:tcPr>
          <w:p w14:paraId="1AB2274A" w14:textId="6381F09C" w:rsidR="00FE735C" w:rsidRPr="00EC1E76" w:rsidRDefault="00A938AD" w:rsidP="00EC1E76">
            <w:pPr>
              <w:pStyle w:val="NoSpacing"/>
              <w:ind w:left="5"/>
              <w:jc w:val="both"/>
              <w:rPr>
                <w:rFonts w:cs="Arial"/>
                <w:szCs w:val="24"/>
              </w:rPr>
            </w:pPr>
            <w:r w:rsidRPr="00EC1E76">
              <w:rPr>
                <w:rStyle w:val="Emphasis"/>
                <w:rFonts w:cs="Arial"/>
                <w:szCs w:val="24"/>
              </w:rPr>
              <w:lastRenderedPageBreak/>
              <w:t>Mitigation:</w:t>
            </w:r>
            <w:r w:rsidRPr="00EC1E76">
              <w:rPr>
                <w:rFonts w:cs="Arial"/>
                <w:szCs w:val="24"/>
              </w:rPr>
              <w:t xml:space="preserve"> </w:t>
            </w:r>
            <w:r w:rsidR="00FE735C" w:rsidRPr="00EC1E76">
              <w:rPr>
                <w:rFonts w:cs="Arial"/>
                <w:szCs w:val="24"/>
              </w:rPr>
              <w:t>A</w:t>
            </w:r>
            <w:r w:rsidR="002D28FA" w:rsidRPr="00EC1E76">
              <w:rPr>
                <w:rFonts w:cs="Arial"/>
                <w:szCs w:val="24"/>
              </w:rPr>
              <w:t>ssess</w:t>
            </w:r>
            <w:r w:rsidR="00FE735C" w:rsidRPr="00EC1E76">
              <w:rPr>
                <w:rFonts w:cs="Arial"/>
                <w:szCs w:val="24"/>
              </w:rPr>
              <w:t>ment of</w:t>
            </w:r>
            <w:r w:rsidR="002D28FA" w:rsidRPr="00EC1E76">
              <w:rPr>
                <w:rFonts w:cs="Arial"/>
                <w:szCs w:val="24"/>
              </w:rPr>
              <w:t xml:space="preserve"> individual </w:t>
            </w:r>
            <w:r w:rsidR="00FE735C" w:rsidRPr="00EC1E76">
              <w:rPr>
                <w:rFonts w:cs="Arial"/>
                <w:szCs w:val="24"/>
              </w:rPr>
              <w:t xml:space="preserve">student </w:t>
            </w:r>
            <w:r w:rsidR="002D28FA" w:rsidRPr="00EC1E76">
              <w:rPr>
                <w:rFonts w:cs="Arial"/>
                <w:szCs w:val="24"/>
              </w:rPr>
              <w:t xml:space="preserve">needs and collaborate with relevant support </w:t>
            </w:r>
            <w:r w:rsidR="001749F1">
              <w:rPr>
                <w:rFonts w:cs="Arial"/>
                <w:szCs w:val="24"/>
              </w:rPr>
              <w:t>services</w:t>
            </w:r>
            <w:r w:rsidR="002D28FA" w:rsidRPr="00EC1E76">
              <w:rPr>
                <w:rFonts w:cs="Arial"/>
                <w:szCs w:val="24"/>
              </w:rPr>
              <w:t xml:space="preserve"> to minimi</w:t>
            </w:r>
            <w:r w:rsidR="00FE735C" w:rsidRPr="00EC1E76">
              <w:rPr>
                <w:rFonts w:cs="Arial"/>
                <w:szCs w:val="24"/>
              </w:rPr>
              <w:t>s</w:t>
            </w:r>
            <w:r w:rsidR="002D28FA" w:rsidRPr="00EC1E76">
              <w:rPr>
                <w:rFonts w:cs="Arial"/>
                <w:szCs w:val="24"/>
              </w:rPr>
              <w:t xml:space="preserve">e any potential disruptions </w:t>
            </w:r>
            <w:r w:rsidR="002D28FA" w:rsidRPr="00EC1E76">
              <w:rPr>
                <w:rFonts w:cs="Arial"/>
                <w:szCs w:val="24"/>
              </w:rPr>
              <w:lastRenderedPageBreak/>
              <w:t>to students' learning experiences</w:t>
            </w:r>
            <w:r w:rsidR="001F50CF">
              <w:rPr>
                <w:rFonts w:cs="Arial"/>
                <w:szCs w:val="24"/>
              </w:rPr>
              <w:t>.</w:t>
            </w:r>
            <w:r w:rsidR="00FE735C" w:rsidRPr="00EC1E76">
              <w:rPr>
                <w:rFonts w:cs="Arial"/>
                <w:szCs w:val="24"/>
              </w:rPr>
              <w:t xml:space="preserve"> Student Life</w:t>
            </w:r>
            <w:r w:rsidR="001F50CF">
              <w:rPr>
                <w:rFonts w:cs="Arial"/>
                <w:szCs w:val="24"/>
              </w:rPr>
              <w:t xml:space="preserve"> team</w:t>
            </w:r>
            <w:r w:rsidR="00FE735C" w:rsidRPr="00EC1E76">
              <w:rPr>
                <w:rFonts w:cs="Arial"/>
                <w:szCs w:val="24"/>
              </w:rPr>
              <w:t xml:space="preserve"> involvement in planning.</w:t>
            </w:r>
          </w:p>
          <w:p w14:paraId="0522C186" w14:textId="2166D3A0" w:rsidR="00EC1E76" w:rsidRPr="00EC1E76" w:rsidRDefault="00EC1E76" w:rsidP="00EC1E76">
            <w:pPr>
              <w:pStyle w:val="NoSpacing"/>
              <w:ind w:left="5"/>
              <w:jc w:val="both"/>
              <w:rPr>
                <w:rFonts w:cs="Arial"/>
                <w:szCs w:val="24"/>
              </w:rPr>
            </w:pPr>
          </w:p>
          <w:p w14:paraId="00D15F78" w14:textId="7F3214D6" w:rsidR="00EC1E76" w:rsidRPr="00EC1E76" w:rsidRDefault="00EC1E76" w:rsidP="00EC1E76">
            <w:pPr>
              <w:pStyle w:val="NoSpacing"/>
              <w:ind w:left="5"/>
              <w:jc w:val="both"/>
              <w:rPr>
                <w:rFonts w:cs="Arial"/>
                <w:szCs w:val="24"/>
              </w:rPr>
            </w:pPr>
            <w:r w:rsidRPr="00EC1E76">
              <w:rPr>
                <w:rFonts w:cs="Arial"/>
                <w:i/>
                <w:iCs/>
                <w:szCs w:val="24"/>
              </w:rPr>
              <w:t>Mitigation:</w:t>
            </w:r>
            <w:r w:rsidRPr="00EC1E76">
              <w:rPr>
                <w:rFonts w:cs="Arial"/>
                <w:szCs w:val="24"/>
              </w:rPr>
              <w:t xml:space="preserve"> </w:t>
            </w:r>
            <w:r>
              <w:rPr>
                <w:rFonts w:cs="Arial"/>
                <w:szCs w:val="24"/>
              </w:rPr>
              <w:t>E</w:t>
            </w:r>
            <w:r w:rsidRPr="00EC1E76">
              <w:rPr>
                <w:rFonts w:cs="Arial"/>
                <w:szCs w:val="24"/>
              </w:rPr>
              <w:t>ngage in ongoing consultation with affected staff members</w:t>
            </w:r>
            <w:r>
              <w:rPr>
                <w:rFonts w:cs="Arial"/>
                <w:szCs w:val="24"/>
              </w:rPr>
              <w:t>, their line managers</w:t>
            </w:r>
            <w:r w:rsidRPr="00EC1E76">
              <w:rPr>
                <w:rFonts w:cs="Arial"/>
                <w:szCs w:val="24"/>
              </w:rPr>
              <w:t xml:space="preserve"> and </w:t>
            </w:r>
            <w:r>
              <w:rPr>
                <w:rFonts w:cs="Arial"/>
                <w:szCs w:val="24"/>
              </w:rPr>
              <w:t>People Services</w:t>
            </w:r>
            <w:r w:rsidRPr="00EC1E76">
              <w:rPr>
                <w:rFonts w:cs="Arial"/>
                <w:szCs w:val="24"/>
              </w:rPr>
              <w:t xml:space="preserve"> to address individual needs and minimi</w:t>
            </w:r>
            <w:r>
              <w:rPr>
                <w:rFonts w:cs="Arial"/>
                <w:szCs w:val="24"/>
              </w:rPr>
              <w:t>s</w:t>
            </w:r>
            <w:r w:rsidRPr="00EC1E76">
              <w:rPr>
                <w:rFonts w:cs="Arial"/>
                <w:szCs w:val="24"/>
              </w:rPr>
              <w:t>e any potential challenges</w:t>
            </w:r>
            <w:r w:rsidR="00E6099C">
              <w:rPr>
                <w:rFonts w:cs="Arial"/>
                <w:szCs w:val="24"/>
              </w:rPr>
              <w:t xml:space="preserve"> </w:t>
            </w:r>
            <w:r w:rsidR="00E6099C" w:rsidRPr="001F50CF">
              <w:rPr>
                <w:rFonts w:cs="Arial"/>
                <w:szCs w:val="24"/>
              </w:rPr>
              <w:t>via reasonable adjustment/s</w:t>
            </w:r>
            <w:r w:rsidRPr="001F50CF">
              <w:rPr>
                <w:rFonts w:cs="Arial"/>
                <w:szCs w:val="24"/>
              </w:rPr>
              <w:t>.</w:t>
            </w:r>
          </w:p>
          <w:p w14:paraId="4297469D" w14:textId="3F9A06D1" w:rsidR="002D28FA" w:rsidRPr="00EC1E76" w:rsidRDefault="002D28FA" w:rsidP="00EC1E76">
            <w:pPr>
              <w:pStyle w:val="NoSpacing"/>
              <w:ind w:left="5"/>
              <w:jc w:val="both"/>
              <w:rPr>
                <w:rFonts w:cs="Arial"/>
                <w:szCs w:val="24"/>
              </w:rPr>
            </w:pPr>
          </w:p>
        </w:tc>
      </w:tr>
      <w:tr w:rsidR="0065311B" w14:paraId="4FE22051" w14:textId="77777777" w:rsidTr="004B4CD4">
        <w:tc>
          <w:tcPr>
            <w:tcW w:w="1247" w:type="dxa"/>
          </w:tcPr>
          <w:p w14:paraId="0D13D054" w14:textId="77777777" w:rsidR="00A722E5" w:rsidRPr="00A722E5" w:rsidRDefault="00A722E5" w:rsidP="007B24C3">
            <w:pPr>
              <w:pStyle w:val="NoSpacing"/>
              <w:rPr>
                <w:sz w:val="20"/>
                <w:szCs w:val="20"/>
              </w:rPr>
            </w:pPr>
            <w:r w:rsidRPr="00A722E5">
              <w:rPr>
                <w:sz w:val="20"/>
                <w:szCs w:val="20"/>
              </w:rPr>
              <w:lastRenderedPageBreak/>
              <w:t>Ethnic Group</w:t>
            </w:r>
          </w:p>
          <w:p w14:paraId="4C2BE66E" w14:textId="77777777" w:rsidR="00A722E5" w:rsidRDefault="00A722E5" w:rsidP="007B24C3">
            <w:pPr>
              <w:pStyle w:val="NoSpacing"/>
              <w:rPr>
                <w:sz w:val="20"/>
                <w:szCs w:val="20"/>
              </w:rPr>
            </w:pPr>
          </w:p>
          <w:p w14:paraId="4B33E17A" w14:textId="77777777" w:rsidR="008E4DA7" w:rsidRPr="00A722E5" w:rsidRDefault="008E4DA7" w:rsidP="007B24C3">
            <w:pPr>
              <w:pStyle w:val="NoSpacing"/>
              <w:rPr>
                <w:sz w:val="20"/>
                <w:szCs w:val="20"/>
              </w:rPr>
            </w:pPr>
          </w:p>
        </w:tc>
        <w:tc>
          <w:tcPr>
            <w:tcW w:w="7537" w:type="dxa"/>
          </w:tcPr>
          <w:p w14:paraId="205DE528" w14:textId="300A5518" w:rsidR="00501588" w:rsidRPr="00D871CA" w:rsidRDefault="00D871CA" w:rsidP="00D871CA">
            <w:pPr>
              <w:spacing w:before="100" w:beforeAutospacing="1" w:after="100" w:afterAutospacing="1"/>
              <w:jc w:val="both"/>
              <w:rPr>
                <w:rFonts w:cs="Arial"/>
              </w:rPr>
            </w:pPr>
            <w:r w:rsidRPr="00D871CA">
              <w:rPr>
                <w:rFonts w:eastAsia="Times New Roman" w:cs="Arial"/>
                <w:szCs w:val="24"/>
                <w:lang w:eastAsia="en-GB"/>
              </w:rPr>
              <w:t xml:space="preserve">It is essential to ensure that changes to the academic framework do not disadvantage any ethnic group and that inclusivity remains a priority. The university’s commitment to </w:t>
            </w:r>
            <w:r w:rsidRPr="00D871CA">
              <w:rPr>
                <w:rFonts w:eastAsia="Times New Roman" w:cs="Arial"/>
                <w:b/>
                <w:bCs/>
                <w:szCs w:val="24"/>
                <w:lang w:eastAsia="en-GB"/>
              </w:rPr>
              <w:t>"An inclusive and respectful approach to others, grounded in an understanding of different contexts, lived experiences, beliefs, and cultures"</w:t>
            </w:r>
            <w:r w:rsidRPr="00D871CA">
              <w:rPr>
                <w:rFonts w:eastAsia="Times New Roman" w:cs="Arial"/>
                <w:szCs w:val="24"/>
                <w:lang w:eastAsia="en-GB"/>
              </w:rPr>
              <w:t xml:space="preserve"> will guide the implementation of these changes. </w:t>
            </w:r>
          </w:p>
        </w:tc>
        <w:tc>
          <w:tcPr>
            <w:tcW w:w="5164" w:type="dxa"/>
          </w:tcPr>
          <w:p w14:paraId="3BF76E72" w14:textId="4D2FC774" w:rsidR="00D871CA" w:rsidRPr="00D871CA" w:rsidRDefault="00D871CA" w:rsidP="00D871CA">
            <w:pPr>
              <w:spacing w:before="100" w:beforeAutospacing="1" w:after="100" w:afterAutospacing="1"/>
              <w:jc w:val="both"/>
              <w:rPr>
                <w:rFonts w:eastAsia="Times New Roman" w:cs="Arial"/>
                <w:szCs w:val="24"/>
                <w:lang w:eastAsia="en-GB"/>
              </w:rPr>
            </w:pPr>
            <w:r w:rsidRPr="00D871CA">
              <w:rPr>
                <w:rFonts w:eastAsia="Times New Roman" w:cs="Arial"/>
                <w:i/>
                <w:iCs/>
                <w:szCs w:val="24"/>
                <w:lang w:eastAsia="en-GB"/>
              </w:rPr>
              <w:t>Mitigation:</w:t>
            </w:r>
            <w:r w:rsidRPr="00D871CA">
              <w:rPr>
                <w:rFonts w:eastAsia="Times New Roman" w:cs="Arial"/>
                <w:szCs w:val="24"/>
                <w:lang w:eastAsia="en-GB"/>
              </w:rPr>
              <w:t xml:space="preserve"> </w:t>
            </w:r>
            <w:r w:rsidR="00AD25B9">
              <w:rPr>
                <w:rFonts w:eastAsia="Times New Roman" w:cs="Arial"/>
                <w:szCs w:val="24"/>
                <w:lang w:eastAsia="en-GB"/>
              </w:rPr>
              <w:t>O</w:t>
            </w:r>
            <w:r w:rsidRPr="00D871CA">
              <w:rPr>
                <w:rFonts w:eastAsia="Times New Roman" w:cs="Arial"/>
                <w:szCs w:val="24"/>
                <w:lang w:eastAsia="en-GB"/>
              </w:rPr>
              <w:t xml:space="preserve">ngoing monitoring </w:t>
            </w:r>
            <w:r w:rsidR="001F50CF">
              <w:rPr>
                <w:rFonts w:eastAsia="Times New Roman" w:cs="Arial"/>
                <w:szCs w:val="24"/>
                <w:lang w:eastAsia="en-GB"/>
              </w:rPr>
              <w:t>of the implementation of the new academic framework to</w:t>
            </w:r>
            <w:r w:rsidRPr="00D871CA">
              <w:rPr>
                <w:rFonts w:eastAsia="Times New Roman" w:cs="Arial"/>
                <w:szCs w:val="24"/>
                <w:lang w:eastAsia="en-GB"/>
              </w:rPr>
              <w:t xml:space="preserve"> help maintain an equitable and supportive </w:t>
            </w:r>
            <w:r w:rsidR="00AD25B9">
              <w:rPr>
                <w:rFonts w:eastAsia="Times New Roman" w:cs="Arial"/>
                <w:szCs w:val="24"/>
                <w:lang w:eastAsia="en-GB"/>
              </w:rPr>
              <w:t xml:space="preserve">university community. </w:t>
            </w:r>
          </w:p>
          <w:p w14:paraId="4C7EEA83" w14:textId="77777777" w:rsidR="00D871CA" w:rsidRPr="00D871CA" w:rsidRDefault="00D871CA" w:rsidP="00D871CA">
            <w:pPr>
              <w:spacing w:before="100" w:beforeAutospacing="1" w:after="100" w:afterAutospacing="1"/>
              <w:rPr>
                <w:rFonts w:eastAsia="Times New Roman" w:cs="Arial"/>
                <w:szCs w:val="24"/>
                <w:lang w:eastAsia="en-GB"/>
              </w:rPr>
            </w:pPr>
          </w:p>
          <w:p w14:paraId="4D2CEF38" w14:textId="77777777" w:rsidR="00FB3CB3" w:rsidRPr="00D871CA" w:rsidRDefault="00FB3CB3" w:rsidP="00582C83">
            <w:pPr>
              <w:pStyle w:val="NoSpacing"/>
              <w:ind w:left="5"/>
              <w:rPr>
                <w:rFonts w:cs="Arial"/>
              </w:rPr>
            </w:pPr>
          </w:p>
        </w:tc>
      </w:tr>
      <w:tr w:rsidR="0065311B" w14:paraId="5309D02D" w14:textId="77777777" w:rsidTr="004B4CD4">
        <w:tc>
          <w:tcPr>
            <w:tcW w:w="1247" w:type="dxa"/>
          </w:tcPr>
          <w:p w14:paraId="30FEAFA0" w14:textId="77777777" w:rsidR="00A722E5" w:rsidRPr="00A722E5" w:rsidRDefault="00A722E5" w:rsidP="007B24C3">
            <w:pPr>
              <w:pStyle w:val="NoSpacing"/>
              <w:rPr>
                <w:sz w:val="20"/>
                <w:szCs w:val="20"/>
              </w:rPr>
            </w:pPr>
            <w:r w:rsidRPr="00A722E5">
              <w:rPr>
                <w:sz w:val="20"/>
                <w:szCs w:val="20"/>
              </w:rPr>
              <w:t xml:space="preserve">Gender </w:t>
            </w:r>
          </w:p>
          <w:p w14:paraId="35A44BB1" w14:textId="77777777" w:rsidR="00A722E5" w:rsidRDefault="00A722E5" w:rsidP="007B24C3">
            <w:pPr>
              <w:pStyle w:val="NoSpacing"/>
              <w:rPr>
                <w:sz w:val="20"/>
                <w:szCs w:val="20"/>
              </w:rPr>
            </w:pPr>
          </w:p>
          <w:p w14:paraId="7AF89279" w14:textId="77777777" w:rsidR="008E4DA7" w:rsidRPr="00A722E5" w:rsidRDefault="008E4DA7" w:rsidP="007B24C3">
            <w:pPr>
              <w:pStyle w:val="NoSpacing"/>
              <w:rPr>
                <w:sz w:val="20"/>
                <w:szCs w:val="20"/>
              </w:rPr>
            </w:pPr>
          </w:p>
        </w:tc>
        <w:tc>
          <w:tcPr>
            <w:tcW w:w="7537" w:type="dxa"/>
          </w:tcPr>
          <w:p w14:paraId="6652D8E8" w14:textId="3B51FCD5" w:rsidR="00D871CA" w:rsidRPr="00D871CA" w:rsidRDefault="00D871CA" w:rsidP="00D871CA">
            <w:pPr>
              <w:spacing w:before="100" w:beforeAutospacing="1" w:after="100" w:afterAutospacing="1"/>
              <w:jc w:val="both"/>
              <w:rPr>
                <w:rFonts w:eastAsia="Times New Roman" w:cs="Arial"/>
                <w:szCs w:val="24"/>
                <w:lang w:eastAsia="en-GB"/>
              </w:rPr>
            </w:pPr>
            <w:r w:rsidRPr="00D871CA">
              <w:rPr>
                <w:rFonts w:eastAsia="Times New Roman" w:cs="Arial"/>
                <w:szCs w:val="24"/>
                <w:lang w:eastAsia="en-GB"/>
              </w:rPr>
              <w:t>The current academic structure does not align non-teaching weeks specifically with school holidays and the new model will maintain this approach. As a result, we do not anticipate any significant ramifications for staff in terms of childcare responsibilities.</w:t>
            </w:r>
          </w:p>
          <w:p w14:paraId="71EDF39E" w14:textId="356D882F" w:rsidR="00D871CA" w:rsidRDefault="00D871CA" w:rsidP="00AD25B9">
            <w:pPr>
              <w:spacing w:before="100" w:beforeAutospacing="1" w:after="100" w:afterAutospacing="1"/>
              <w:jc w:val="both"/>
            </w:pPr>
          </w:p>
        </w:tc>
        <w:tc>
          <w:tcPr>
            <w:tcW w:w="5164" w:type="dxa"/>
          </w:tcPr>
          <w:p w14:paraId="7E59F63D" w14:textId="136A4228" w:rsidR="00AD25B9" w:rsidRDefault="00AD25B9" w:rsidP="00AD25B9">
            <w:pPr>
              <w:pStyle w:val="NormalWeb"/>
              <w:jc w:val="both"/>
              <w:rPr>
                <w:rFonts w:ascii="Arial" w:hAnsi="Arial" w:cs="Arial"/>
              </w:rPr>
            </w:pPr>
            <w:r w:rsidRPr="00AD25B9">
              <w:rPr>
                <w:rFonts w:ascii="Arial" w:hAnsi="Arial" w:cs="Arial"/>
                <w:i/>
                <w:iCs/>
              </w:rPr>
              <w:t>Mitigation:</w:t>
            </w:r>
            <w:r w:rsidRPr="00AD25B9">
              <w:rPr>
                <w:rFonts w:ascii="Arial" w:hAnsi="Arial" w:cs="Arial"/>
              </w:rPr>
              <w:t xml:space="preserve"> R</w:t>
            </w:r>
            <w:r w:rsidRPr="00D871CA">
              <w:rPr>
                <w:rFonts w:ascii="Arial" w:hAnsi="Arial" w:cs="Arial"/>
              </w:rPr>
              <w:t>ecogni</w:t>
            </w:r>
            <w:r w:rsidRPr="00AD25B9">
              <w:rPr>
                <w:rFonts w:ascii="Arial" w:hAnsi="Arial" w:cs="Arial"/>
              </w:rPr>
              <w:t>s</w:t>
            </w:r>
            <w:r w:rsidRPr="00D871CA">
              <w:rPr>
                <w:rFonts w:ascii="Arial" w:hAnsi="Arial" w:cs="Arial"/>
              </w:rPr>
              <w:t>ing that caregiving responsibilities often disproportionately impact certain gender groups, particularly women, the university remains committed to supporting</w:t>
            </w:r>
            <w:r w:rsidR="00E6099C">
              <w:rPr>
                <w:rFonts w:ascii="Arial" w:hAnsi="Arial" w:cs="Arial"/>
              </w:rPr>
              <w:t xml:space="preserve"> </w:t>
            </w:r>
            <w:r w:rsidRPr="00D871CA">
              <w:rPr>
                <w:rFonts w:ascii="Arial" w:hAnsi="Arial" w:cs="Arial"/>
              </w:rPr>
              <w:t xml:space="preserve">staff </w:t>
            </w:r>
            <w:r w:rsidR="001F50CF" w:rsidRPr="001F50CF">
              <w:rPr>
                <w:rFonts w:ascii="Arial" w:hAnsi="Arial" w:cs="Arial"/>
              </w:rPr>
              <w:t xml:space="preserve">where possible </w:t>
            </w:r>
            <w:r w:rsidRPr="00D871CA">
              <w:rPr>
                <w:rFonts w:ascii="Arial" w:hAnsi="Arial" w:cs="Arial"/>
              </w:rPr>
              <w:t>through flexible working arrangements</w:t>
            </w:r>
            <w:r w:rsidRPr="00AD25B9">
              <w:rPr>
                <w:rFonts w:ascii="Arial" w:hAnsi="Arial" w:cs="Arial"/>
              </w:rPr>
              <w:t xml:space="preserve"> and</w:t>
            </w:r>
            <w:r w:rsidRPr="00D871CA">
              <w:rPr>
                <w:rFonts w:ascii="Arial" w:hAnsi="Arial" w:cs="Arial"/>
              </w:rPr>
              <w:t xml:space="preserve"> parental leave policies</w:t>
            </w:r>
            <w:r w:rsidRPr="00AD25B9">
              <w:rPr>
                <w:rFonts w:ascii="Arial" w:hAnsi="Arial" w:cs="Arial"/>
              </w:rPr>
              <w:t>. The predictability of a two-semester system can facilitate better planning for those with caring responsibilities</w:t>
            </w:r>
            <w:r w:rsidRPr="00B15811">
              <w:rPr>
                <w:rFonts w:ascii="Arial" w:hAnsi="Arial" w:cs="Arial"/>
              </w:rPr>
              <w:t xml:space="preserve">. </w:t>
            </w:r>
          </w:p>
          <w:p w14:paraId="50A7DE59" w14:textId="67BDFB2E" w:rsidR="00AD25B9" w:rsidRPr="00AD25B9" w:rsidRDefault="00AD25B9" w:rsidP="00AD25B9">
            <w:pPr>
              <w:pStyle w:val="NormalWeb"/>
              <w:jc w:val="both"/>
              <w:rPr>
                <w:rFonts w:ascii="Arial" w:hAnsi="Arial" w:cs="Arial"/>
              </w:rPr>
            </w:pPr>
          </w:p>
        </w:tc>
      </w:tr>
      <w:tr w:rsidR="0065311B" w14:paraId="242CA630" w14:textId="77777777" w:rsidTr="004B4CD4">
        <w:tc>
          <w:tcPr>
            <w:tcW w:w="1247" w:type="dxa"/>
          </w:tcPr>
          <w:p w14:paraId="3A843201" w14:textId="77777777" w:rsidR="00A722E5" w:rsidRPr="00A722E5" w:rsidRDefault="00A722E5" w:rsidP="007B24C3">
            <w:pPr>
              <w:pStyle w:val="NoSpacing"/>
              <w:rPr>
                <w:sz w:val="20"/>
                <w:szCs w:val="20"/>
              </w:rPr>
            </w:pPr>
            <w:r w:rsidRPr="00A722E5">
              <w:rPr>
                <w:sz w:val="20"/>
                <w:szCs w:val="20"/>
              </w:rPr>
              <w:t>Gender reassignment</w:t>
            </w:r>
          </w:p>
          <w:p w14:paraId="7C7F1A2A" w14:textId="77777777" w:rsidR="00A722E5" w:rsidRDefault="00A722E5" w:rsidP="007B24C3">
            <w:pPr>
              <w:pStyle w:val="NoSpacing"/>
              <w:rPr>
                <w:sz w:val="20"/>
                <w:szCs w:val="20"/>
              </w:rPr>
            </w:pPr>
          </w:p>
          <w:p w14:paraId="331BBA3D" w14:textId="77777777" w:rsidR="008E4DA7" w:rsidRPr="00A722E5" w:rsidRDefault="008E4DA7" w:rsidP="007B24C3">
            <w:pPr>
              <w:pStyle w:val="NoSpacing"/>
              <w:rPr>
                <w:sz w:val="20"/>
                <w:szCs w:val="20"/>
              </w:rPr>
            </w:pPr>
          </w:p>
        </w:tc>
        <w:tc>
          <w:tcPr>
            <w:tcW w:w="7537" w:type="dxa"/>
          </w:tcPr>
          <w:p w14:paraId="49C48F1A" w14:textId="77777777" w:rsidR="00CE5F62" w:rsidRDefault="00CE5F62" w:rsidP="007B24C3">
            <w:pPr>
              <w:pStyle w:val="NoSpacing"/>
            </w:pPr>
          </w:p>
        </w:tc>
        <w:tc>
          <w:tcPr>
            <w:tcW w:w="5164" w:type="dxa"/>
          </w:tcPr>
          <w:p w14:paraId="14B2A33A" w14:textId="77777777" w:rsidR="00284D5A" w:rsidRDefault="00284D5A" w:rsidP="00E251C9">
            <w:pPr>
              <w:pStyle w:val="NoSpacing"/>
              <w:ind w:left="5"/>
            </w:pPr>
          </w:p>
        </w:tc>
      </w:tr>
      <w:tr w:rsidR="0065311B" w14:paraId="17D16EB9" w14:textId="77777777" w:rsidTr="004B4CD4">
        <w:tc>
          <w:tcPr>
            <w:tcW w:w="1247" w:type="dxa"/>
          </w:tcPr>
          <w:p w14:paraId="5FF0492A" w14:textId="77777777" w:rsidR="00A722E5" w:rsidRDefault="00A722E5" w:rsidP="007B24C3">
            <w:pPr>
              <w:pStyle w:val="NoSpacing"/>
              <w:rPr>
                <w:sz w:val="20"/>
                <w:szCs w:val="20"/>
              </w:rPr>
            </w:pPr>
            <w:r w:rsidRPr="00A722E5">
              <w:rPr>
                <w:sz w:val="20"/>
                <w:szCs w:val="20"/>
              </w:rPr>
              <w:t>Marriage and civil partnership</w:t>
            </w:r>
          </w:p>
          <w:p w14:paraId="2033C646" w14:textId="77777777" w:rsidR="008E4DA7" w:rsidRPr="00A722E5" w:rsidRDefault="008E4DA7" w:rsidP="007B24C3">
            <w:pPr>
              <w:pStyle w:val="NoSpacing"/>
              <w:rPr>
                <w:sz w:val="20"/>
                <w:szCs w:val="20"/>
              </w:rPr>
            </w:pPr>
          </w:p>
          <w:p w14:paraId="7D4A2220" w14:textId="77777777" w:rsidR="00A722E5" w:rsidRPr="00A722E5" w:rsidRDefault="00A722E5" w:rsidP="007B24C3">
            <w:pPr>
              <w:pStyle w:val="NoSpacing"/>
              <w:rPr>
                <w:sz w:val="20"/>
                <w:szCs w:val="20"/>
              </w:rPr>
            </w:pPr>
          </w:p>
        </w:tc>
        <w:tc>
          <w:tcPr>
            <w:tcW w:w="7537" w:type="dxa"/>
          </w:tcPr>
          <w:p w14:paraId="200C1665" w14:textId="77777777" w:rsidR="00A722E5" w:rsidRDefault="00A722E5" w:rsidP="007B24C3">
            <w:pPr>
              <w:pStyle w:val="NoSpacing"/>
            </w:pPr>
          </w:p>
        </w:tc>
        <w:tc>
          <w:tcPr>
            <w:tcW w:w="5164" w:type="dxa"/>
          </w:tcPr>
          <w:p w14:paraId="0AC3E268" w14:textId="77777777" w:rsidR="00A722E5" w:rsidRDefault="00A722E5" w:rsidP="006704C5">
            <w:pPr>
              <w:pStyle w:val="NoSpacing"/>
            </w:pPr>
          </w:p>
        </w:tc>
      </w:tr>
      <w:tr w:rsidR="0065311B" w14:paraId="7B1D148E" w14:textId="77777777" w:rsidTr="004B4CD4">
        <w:tc>
          <w:tcPr>
            <w:tcW w:w="1247" w:type="dxa"/>
          </w:tcPr>
          <w:p w14:paraId="589178DC" w14:textId="77777777" w:rsidR="00A722E5" w:rsidRDefault="00A722E5" w:rsidP="007B24C3">
            <w:pPr>
              <w:pStyle w:val="NoSpacing"/>
              <w:rPr>
                <w:sz w:val="20"/>
                <w:szCs w:val="20"/>
              </w:rPr>
            </w:pPr>
            <w:r w:rsidRPr="00A722E5">
              <w:rPr>
                <w:sz w:val="20"/>
                <w:szCs w:val="20"/>
              </w:rPr>
              <w:t>Pregnancy or Maternity</w:t>
            </w:r>
          </w:p>
          <w:p w14:paraId="5FD67EF7" w14:textId="77777777" w:rsidR="008E4DA7" w:rsidRPr="00A722E5" w:rsidRDefault="008E4DA7" w:rsidP="007B24C3">
            <w:pPr>
              <w:pStyle w:val="NoSpacing"/>
              <w:rPr>
                <w:sz w:val="20"/>
                <w:szCs w:val="20"/>
              </w:rPr>
            </w:pPr>
          </w:p>
          <w:p w14:paraId="42D1AAEA" w14:textId="77777777" w:rsidR="00A722E5" w:rsidRPr="00A722E5" w:rsidRDefault="00A722E5" w:rsidP="007B24C3">
            <w:pPr>
              <w:pStyle w:val="NoSpacing"/>
              <w:rPr>
                <w:sz w:val="20"/>
                <w:szCs w:val="20"/>
              </w:rPr>
            </w:pPr>
          </w:p>
        </w:tc>
        <w:tc>
          <w:tcPr>
            <w:tcW w:w="7537" w:type="dxa"/>
          </w:tcPr>
          <w:p w14:paraId="0D0CFBB3" w14:textId="77777777" w:rsidR="001749F1" w:rsidRDefault="00024B36" w:rsidP="001749F1">
            <w:pPr>
              <w:spacing w:before="100" w:beforeAutospacing="1" w:after="100" w:afterAutospacing="1"/>
              <w:jc w:val="both"/>
              <w:rPr>
                <w:rFonts w:eastAsia="Times New Roman" w:cs="Arial"/>
                <w:szCs w:val="24"/>
                <w:lang w:eastAsia="en-GB"/>
              </w:rPr>
            </w:pPr>
            <w:r w:rsidRPr="00024B36">
              <w:rPr>
                <w:rFonts w:eastAsia="Times New Roman" w:cs="Arial"/>
                <w:b/>
                <w:bCs/>
                <w:szCs w:val="24"/>
                <w:lang w:eastAsia="en-GB"/>
              </w:rPr>
              <w:t>Impact on Students who take time away due to Maternity:</w:t>
            </w:r>
            <w:r w:rsidRPr="00024B36">
              <w:rPr>
                <w:rFonts w:eastAsia="Times New Roman" w:cs="Arial"/>
                <w:szCs w:val="24"/>
                <w:lang w:eastAsia="en-GB"/>
              </w:rPr>
              <w:t xml:space="preserve"> Changes to the academic structure may have implications for students who take time away due to maternity leave, particularly in terms of their ability to re-join their studies smoothly.</w:t>
            </w:r>
          </w:p>
          <w:p w14:paraId="39B3DBBE" w14:textId="77777777" w:rsidR="001749F1" w:rsidRDefault="001749F1" w:rsidP="001749F1">
            <w:pPr>
              <w:spacing w:before="100" w:beforeAutospacing="1" w:after="100" w:afterAutospacing="1"/>
              <w:jc w:val="both"/>
              <w:rPr>
                <w:rFonts w:eastAsia="Times New Roman" w:cs="Arial"/>
                <w:szCs w:val="24"/>
                <w:lang w:eastAsia="en-GB"/>
              </w:rPr>
            </w:pPr>
            <w:r w:rsidRPr="001749F1">
              <w:rPr>
                <w:rFonts w:eastAsia="Times New Roman" w:cs="Arial"/>
                <w:b/>
                <w:bCs/>
                <w:szCs w:val="24"/>
                <w:lang w:eastAsia="en-GB"/>
              </w:rPr>
              <w:t>Communication with</w:t>
            </w:r>
            <w:r w:rsidR="00024B36" w:rsidRPr="001749F1">
              <w:rPr>
                <w:rFonts w:eastAsia="Times New Roman" w:cs="Arial"/>
                <w:b/>
                <w:bCs/>
                <w:szCs w:val="24"/>
                <w:lang w:eastAsia="en-GB"/>
              </w:rPr>
              <w:t xml:space="preserve"> Staff</w:t>
            </w:r>
            <w:r w:rsidR="00024B36" w:rsidRPr="00024B36">
              <w:rPr>
                <w:rFonts w:eastAsia="Times New Roman" w:cs="Arial"/>
                <w:b/>
                <w:bCs/>
                <w:szCs w:val="24"/>
                <w:lang w:eastAsia="en-GB"/>
              </w:rPr>
              <w:t xml:space="preserve"> on Maternity Leave:</w:t>
            </w:r>
            <w:r w:rsidR="00024B36" w:rsidRPr="00024B36">
              <w:rPr>
                <w:rFonts w:eastAsia="Times New Roman" w:cs="Arial"/>
                <w:szCs w:val="24"/>
                <w:lang w:eastAsia="en-GB"/>
              </w:rPr>
              <w:t xml:space="preserve"> </w:t>
            </w:r>
            <w:r>
              <w:rPr>
                <w:rFonts w:eastAsia="Times New Roman" w:cs="Arial"/>
                <w:szCs w:val="24"/>
                <w:lang w:eastAsia="en-GB"/>
              </w:rPr>
              <w:t xml:space="preserve">Changes to the academic framework are to be communicated to staff on maternity leave </w:t>
            </w:r>
          </w:p>
          <w:p w14:paraId="00969D0B" w14:textId="2CFD1364" w:rsidR="001749F1" w:rsidRPr="00024B36" w:rsidRDefault="001749F1" w:rsidP="001749F1">
            <w:pPr>
              <w:spacing w:before="100" w:beforeAutospacing="1" w:after="100" w:afterAutospacing="1"/>
              <w:jc w:val="both"/>
              <w:rPr>
                <w:rFonts w:cs="Arial"/>
              </w:rPr>
            </w:pPr>
          </w:p>
        </w:tc>
        <w:tc>
          <w:tcPr>
            <w:tcW w:w="5164" w:type="dxa"/>
          </w:tcPr>
          <w:p w14:paraId="57FAABC1" w14:textId="7876C59C" w:rsidR="00024B36" w:rsidRDefault="00024B36" w:rsidP="001749F1">
            <w:pPr>
              <w:spacing w:before="100" w:beforeAutospacing="1" w:after="100" w:afterAutospacing="1"/>
              <w:jc w:val="both"/>
              <w:rPr>
                <w:rFonts w:eastAsia="Times New Roman" w:cs="Arial"/>
                <w:szCs w:val="24"/>
                <w:lang w:eastAsia="en-GB"/>
              </w:rPr>
            </w:pPr>
            <w:r w:rsidRPr="001749F1">
              <w:rPr>
                <w:rFonts w:eastAsia="Times New Roman" w:cs="Arial"/>
                <w:i/>
                <w:iCs/>
                <w:szCs w:val="24"/>
                <w:lang w:eastAsia="en-GB"/>
              </w:rPr>
              <w:t>Mitigation:</w:t>
            </w:r>
            <w:r w:rsidRPr="00024B36">
              <w:rPr>
                <w:rFonts w:eastAsia="Times New Roman" w:cs="Arial"/>
                <w:szCs w:val="24"/>
                <w:lang w:eastAsia="en-GB"/>
              </w:rPr>
              <w:t xml:space="preserve"> Clear re</w:t>
            </w:r>
            <w:r w:rsidR="001749F1">
              <w:rPr>
                <w:rFonts w:eastAsia="Times New Roman" w:cs="Arial"/>
                <w:szCs w:val="24"/>
                <w:lang w:eastAsia="en-GB"/>
              </w:rPr>
              <w:t>-</w:t>
            </w:r>
            <w:r w:rsidRPr="00024B36">
              <w:rPr>
                <w:rFonts w:eastAsia="Times New Roman" w:cs="Arial"/>
                <w:szCs w:val="24"/>
                <w:lang w:eastAsia="en-GB"/>
              </w:rPr>
              <w:t>in</w:t>
            </w:r>
            <w:r w:rsidR="001749F1">
              <w:rPr>
                <w:rFonts w:eastAsia="Times New Roman" w:cs="Arial"/>
                <w:szCs w:val="24"/>
                <w:lang w:eastAsia="en-GB"/>
              </w:rPr>
              <w:t>duc</w:t>
            </w:r>
            <w:r w:rsidRPr="00024B36">
              <w:rPr>
                <w:rFonts w:eastAsia="Times New Roman" w:cs="Arial"/>
                <w:szCs w:val="24"/>
                <w:lang w:eastAsia="en-GB"/>
              </w:rPr>
              <w:t xml:space="preserve">tion process with personal tutors, providing appropriate academic support. </w:t>
            </w:r>
          </w:p>
          <w:p w14:paraId="589C3153" w14:textId="0AF87395" w:rsidR="001749F1" w:rsidRPr="001749F1" w:rsidRDefault="001749F1" w:rsidP="001749F1">
            <w:pPr>
              <w:spacing w:before="100" w:beforeAutospacing="1" w:after="100" w:afterAutospacing="1"/>
              <w:jc w:val="both"/>
              <w:rPr>
                <w:rFonts w:eastAsia="Times New Roman" w:cs="Arial"/>
                <w:szCs w:val="24"/>
                <w:lang w:eastAsia="en-GB"/>
              </w:rPr>
            </w:pPr>
            <w:r w:rsidRPr="001749F1">
              <w:rPr>
                <w:rFonts w:eastAsia="Times New Roman" w:cs="Arial"/>
                <w:i/>
                <w:iCs/>
                <w:szCs w:val="24"/>
                <w:lang w:eastAsia="en-GB"/>
              </w:rPr>
              <w:t>Mitigation</w:t>
            </w:r>
            <w:r w:rsidR="001F50CF">
              <w:rPr>
                <w:rFonts w:eastAsia="Times New Roman" w:cs="Arial"/>
                <w:i/>
                <w:iCs/>
                <w:szCs w:val="24"/>
                <w:lang w:eastAsia="en-GB"/>
              </w:rPr>
              <w:t>:</w:t>
            </w:r>
            <w:r w:rsidRPr="001749F1">
              <w:rPr>
                <w:rFonts w:eastAsia="Times New Roman" w:cs="Arial"/>
                <w:i/>
                <w:iCs/>
                <w:szCs w:val="24"/>
                <w:lang w:eastAsia="en-GB"/>
              </w:rPr>
              <w:t xml:space="preserve"> </w:t>
            </w:r>
            <w:r w:rsidRPr="001749F1">
              <w:rPr>
                <w:rFonts w:eastAsia="Times New Roman" w:cs="Arial"/>
                <w:szCs w:val="24"/>
                <w:lang w:eastAsia="en-GB"/>
              </w:rPr>
              <w:t>U</w:t>
            </w:r>
            <w:r w:rsidRPr="00024B36">
              <w:rPr>
                <w:rFonts w:eastAsia="Times New Roman" w:cs="Arial"/>
                <w:szCs w:val="24"/>
                <w:lang w:eastAsia="en-GB"/>
              </w:rPr>
              <w:t xml:space="preserve">pdates regarding the academic structure will be communicated </w:t>
            </w:r>
            <w:r>
              <w:rPr>
                <w:rFonts w:eastAsia="Times New Roman" w:cs="Arial"/>
                <w:szCs w:val="24"/>
                <w:lang w:eastAsia="en-GB"/>
              </w:rPr>
              <w:t xml:space="preserve">to staff on maternity leave </w:t>
            </w:r>
            <w:r w:rsidRPr="00024B36">
              <w:rPr>
                <w:rFonts w:eastAsia="Times New Roman" w:cs="Arial"/>
                <w:szCs w:val="24"/>
                <w:lang w:eastAsia="en-GB"/>
              </w:rPr>
              <w:t xml:space="preserve">through their Head of School to ensure they remain informed and can plan accordingly for their return. </w:t>
            </w:r>
          </w:p>
        </w:tc>
      </w:tr>
      <w:tr w:rsidR="0065311B" w14:paraId="325F637C" w14:textId="77777777" w:rsidTr="004B4CD4">
        <w:tc>
          <w:tcPr>
            <w:tcW w:w="1247" w:type="dxa"/>
          </w:tcPr>
          <w:p w14:paraId="25AA7430" w14:textId="77777777" w:rsidR="00A722E5" w:rsidRDefault="00A722E5" w:rsidP="007B24C3">
            <w:pPr>
              <w:pStyle w:val="NoSpacing"/>
              <w:rPr>
                <w:sz w:val="20"/>
                <w:szCs w:val="20"/>
              </w:rPr>
            </w:pPr>
            <w:r w:rsidRPr="00A722E5">
              <w:rPr>
                <w:sz w:val="20"/>
                <w:szCs w:val="20"/>
              </w:rPr>
              <w:t>Religion or belief</w:t>
            </w:r>
          </w:p>
          <w:p w14:paraId="17381ECC" w14:textId="77777777" w:rsidR="008E4DA7" w:rsidRPr="00A722E5" w:rsidRDefault="008E4DA7" w:rsidP="007B24C3">
            <w:pPr>
              <w:pStyle w:val="NoSpacing"/>
              <w:rPr>
                <w:sz w:val="20"/>
                <w:szCs w:val="20"/>
              </w:rPr>
            </w:pPr>
          </w:p>
          <w:p w14:paraId="5F0224EA" w14:textId="77777777" w:rsidR="00A722E5" w:rsidRPr="00A722E5" w:rsidRDefault="00A722E5" w:rsidP="007B24C3">
            <w:pPr>
              <w:pStyle w:val="NoSpacing"/>
              <w:rPr>
                <w:sz w:val="20"/>
                <w:szCs w:val="20"/>
              </w:rPr>
            </w:pPr>
          </w:p>
        </w:tc>
        <w:tc>
          <w:tcPr>
            <w:tcW w:w="7537" w:type="dxa"/>
          </w:tcPr>
          <w:p w14:paraId="704F16AC" w14:textId="0E89BB18" w:rsidR="00A722E5" w:rsidRPr="00B15811" w:rsidRDefault="00A938AD" w:rsidP="00FB0C90">
            <w:pPr>
              <w:pStyle w:val="NormalWeb"/>
              <w:jc w:val="both"/>
              <w:rPr>
                <w:rFonts w:ascii="Arial" w:hAnsi="Arial" w:cs="Arial"/>
              </w:rPr>
            </w:pPr>
            <w:r w:rsidRPr="00B15811">
              <w:rPr>
                <w:rStyle w:val="Strong"/>
                <w:rFonts w:ascii="Arial" w:hAnsi="Arial" w:cs="Arial"/>
              </w:rPr>
              <w:t>Consideration for Religious Observances</w:t>
            </w:r>
            <w:r w:rsidRPr="00B15811">
              <w:rPr>
                <w:rFonts w:ascii="Arial" w:hAnsi="Arial" w:cs="Arial"/>
              </w:rPr>
              <w:t>: A more conventionally structured academic calendar can allow better accommodation for religious observances, benefiting students from different faith backgrounds.</w:t>
            </w:r>
          </w:p>
        </w:tc>
        <w:tc>
          <w:tcPr>
            <w:tcW w:w="5164" w:type="dxa"/>
          </w:tcPr>
          <w:p w14:paraId="2525B361" w14:textId="0DEAA52C" w:rsidR="00284D5A" w:rsidRPr="00B15811" w:rsidRDefault="00A938AD" w:rsidP="00FB0C90">
            <w:pPr>
              <w:pStyle w:val="NormalWeb"/>
              <w:jc w:val="both"/>
              <w:rPr>
                <w:rFonts w:ascii="Arial" w:hAnsi="Arial" w:cs="Arial"/>
              </w:rPr>
            </w:pPr>
            <w:r w:rsidRPr="00B15811">
              <w:rPr>
                <w:rStyle w:val="Strong"/>
                <w:rFonts w:ascii="Arial" w:hAnsi="Arial" w:cs="Arial"/>
              </w:rPr>
              <w:t>Enhanced Support for Religious and Cultural Observances</w:t>
            </w:r>
            <w:r w:rsidRPr="00B15811">
              <w:rPr>
                <w:rFonts w:ascii="Arial" w:hAnsi="Arial" w:cs="Arial"/>
              </w:rPr>
              <w:t>: Ensure academic timetables and assessment schedules account for major religious and cultural events</w:t>
            </w:r>
            <w:r w:rsidR="001F50CF">
              <w:rPr>
                <w:rFonts w:ascii="Arial" w:hAnsi="Arial" w:cs="Arial"/>
              </w:rPr>
              <w:t xml:space="preserve"> where possible</w:t>
            </w:r>
            <w:r w:rsidRPr="00B15811">
              <w:rPr>
                <w:rFonts w:ascii="Arial" w:hAnsi="Arial" w:cs="Arial"/>
              </w:rPr>
              <w:t>.</w:t>
            </w:r>
          </w:p>
        </w:tc>
      </w:tr>
      <w:tr w:rsidR="000C11D1" w14:paraId="091DEC8F" w14:textId="77777777" w:rsidTr="004B4CD4">
        <w:tc>
          <w:tcPr>
            <w:tcW w:w="1247" w:type="dxa"/>
          </w:tcPr>
          <w:p w14:paraId="10785E52" w14:textId="77777777" w:rsidR="000C11D1" w:rsidRPr="00A722E5" w:rsidRDefault="000C11D1" w:rsidP="007B24C3">
            <w:pPr>
              <w:pStyle w:val="NoSpacing"/>
              <w:rPr>
                <w:sz w:val="20"/>
                <w:szCs w:val="20"/>
              </w:rPr>
            </w:pPr>
            <w:r>
              <w:rPr>
                <w:sz w:val="20"/>
                <w:szCs w:val="20"/>
              </w:rPr>
              <w:t xml:space="preserve">Trans and </w:t>
            </w:r>
            <w:proofErr w:type="spellStart"/>
            <w:r>
              <w:rPr>
                <w:sz w:val="20"/>
                <w:szCs w:val="20"/>
              </w:rPr>
              <w:t>non binary</w:t>
            </w:r>
            <w:proofErr w:type="spellEnd"/>
          </w:p>
        </w:tc>
        <w:tc>
          <w:tcPr>
            <w:tcW w:w="7537" w:type="dxa"/>
          </w:tcPr>
          <w:p w14:paraId="74C73432" w14:textId="5BF54979" w:rsidR="001749F1" w:rsidRPr="001749F1" w:rsidRDefault="001749F1" w:rsidP="00FB0C90">
            <w:pPr>
              <w:spacing w:before="100" w:beforeAutospacing="1" w:after="100" w:afterAutospacing="1"/>
              <w:jc w:val="both"/>
              <w:rPr>
                <w:rFonts w:eastAsia="Times New Roman" w:cs="Arial"/>
                <w:szCs w:val="24"/>
                <w:lang w:eastAsia="en-GB"/>
              </w:rPr>
            </w:pPr>
            <w:r w:rsidRPr="001749F1">
              <w:rPr>
                <w:rFonts w:eastAsia="Times New Roman" w:cs="Arial"/>
                <w:szCs w:val="24"/>
                <w:lang w:eastAsia="en-GB"/>
              </w:rPr>
              <w:t>Changes to the academic structure will uphold the university’s commitment to inclusivity, ensuring that trans and non-binary staff and students feel supported and respected.</w:t>
            </w:r>
          </w:p>
        </w:tc>
        <w:tc>
          <w:tcPr>
            <w:tcW w:w="5164" w:type="dxa"/>
          </w:tcPr>
          <w:p w14:paraId="192A5C26" w14:textId="03A26E9A" w:rsidR="00284D5A" w:rsidRPr="001749F1" w:rsidRDefault="001749F1" w:rsidP="00FB0C90">
            <w:pPr>
              <w:pStyle w:val="Default"/>
              <w:ind w:left="5"/>
              <w:jc w:val="both"/>
            </w:pPr>
            <w:r w:rsidRPr="001749F1">
              <w:rPr>
                <w:i/>
                <w:iCs/>
              </w:rPr>
              <w:t>Mitigation:</w:t>
            </w:r>
            <w:r w:rsidRPr="001749F1">
              <w:t xml:space="preserve"> </w:t>
            </w:r>
            <w:r w:rsidR="00FB0C90">
              <w:t>T</w:t>
            </w:r>
            <w:r w:rsidRPr="001749F1">
              <w:rPr>
                <w:rFonts w:eastAsia="Times New Roman"/>
                <w:lang w:eastAsia="en-GB"/>
              </w:rPr>
              <w:t>he use of inclusive language in all communications, policies, and academic materials</w:t>
            </w:r>
            <w:r w:rsidR="00FB0C90">
              <w:rPr>
                <w:rFonts w:eastAsia="Times New Roman"/>
                <w:lang w:eastAsia="en-GB"/>
              </w:rPr>
              <w:t xml:space="preserve">. </w:t>
            </w:r>
          </w:p>
        </w:tc>
      </w:tr>
      <w:tr w:rsidR="0065311B" w14:paraId="65B0307F" w14:textId="77777777" w:rsidTr="004B4CD4">
        <w:tc>
          <w:tcPr>
            <w:tcW w:w="1247" w:type="dxa"/>
          </w:tcPr>
          <w:p w14:paraId="5C08D9C1" w14:textId="77777777" w:rsidR="00A722E5" w:rsidRPr="00A722E5" w:rsidRDefault="00A722E5" w:rsidP="007B24C3">
            <w:pPr>
              <w:pStyle w:val="NoSpacing"/>
              <w:rPr>
                <w:sz w:val="20"/>
                <w:szCs w:val="20"/>
              </w:rPr>
            </w:pPr>
            <w:r w:rsidRPr="00A722E5">
              <w:rPr>
                <w:sz w:val="20"/>
                <w:szCs w:val="20"/>
              </w:rPr>
              <w:t>Sexual orientation</w:t>
            </w:r>
          </w:p>
          <w:p w14:paraId="5A96969B" w14:textId="77777777" w:rsidR="00A722E5" w:rsidRDefault="00A722E5" w:rsidP="007B24C3">
            <w:pPr>
              <w:pStyle w:val="NoSpacing"/>
              <w:rPr>
                <w:sz w:val="20"/>
                <w:szCs w:val="20"/>
              </w:rPr>
            </w:pPr>
          </w:p>
          <w:p w14:paraId="5E1C9BD0" w14:textId="77777777" w:rsidR="008E4DA7" w:rsidRPr="00A722E5" w:rsidRDefault="008E4DA7" w:rsidP="007B24C3">
            <w:pPr>
              <w:pStyle w:val="NoSpacing"/>
              <w:rPr>
                <w:sz w:val="20"/>
                <w:szCs w:val="20"/>
              </w:rPr>
            </w:pPr>
          </w:p>
        </w:tc>
        <w:tc>
          <w:tcPr>
            <w:tcW w:w="7537" w:type="dxa"/>
          </w:tcPr>
          <w:p w14:paraId="0A925CCC" w14:textId="77777777" w:rsidR="00A722E5" w:rsidRDefault="00A722E5" w:rsidP="00370116">
            <w:pPr>
              <w:pStyle w:val="Default"/>
            </w:pPr>
          </w:p>
        </w:tc>
        <w:tc>
          <w:tcPr>
            <w:tcW w:w="5164" w:type="dxa"/>
          </w:tcPr>
          <w:p w14:paraId="2BFEB69B" w14:textId="77777777" w:rsidR="00284D5A" w:rsidRDefault="00284D5A" w:rsidP="002E04CC">
            <w:pPr>
              <w:pStyle w:val="NoSpacing"/>
              <w:ind w:left="5"/>
            </w:pPr>
          </w:p>
        </w:tc>
      </w:tr>
    </w:tbl>
    <w:p w14:paraId="33417053" w14:textId="77777777" w:rsidR="008E4DA7" w:rsidRDefault="008E4DA7" w:rsidP="00A722E5">
      <w:pPr>
        <w:pStyle w:val="NoSpacing"/>
      </w:pPr>
    </w:p>
    <w:p w14:paraId="707EE11D" w14:textId="77777777" w:rsidR="009A2936" w:rsidRDefault="009A2936" w:rsidP="00A722E5">
      <w:pPr>
        <w:pStyle w:val="NoSpacing"/>
        <w:rPr>
          <w:b/>
        </w:rPr>
      </w:pPr>
    </w:p>
    <w:p w14:paraId="4E8F01E2" w14:textId="77777777" w:rsidR="007B24C3" w:rsidRPr="00A722E5" w:rsidRDefault="009A2936" w:rsidP="007B24C3">
      <w:pPr>
        <w:pStyle w:val="NoSpacing"/>
        <w:rPr>
          <w:b/>
        </w:rPr>
      </w:pPr>
      <w:r>
        <w:rPr>
          <w:b/>
        </w:rPr>
        <w:t>5</w:t>
      </w:r>
      <w:r w:rsidR="00A722E5" w:rsidRPr="00A722E5">
        <w:rPr>
          <w:b/>
        </w:rPr>
        <w:tab/>
      </w:r>
      <w:r w:rsidR="00055BC1">
        <w:rPr>
          <w:b/>
        </w:rPr>
        <w:t>Further Actions Required</w:t>
      </w:r>
    </w:p>
    <w:p w14:paraId="5F4807C0" w14:textId="77777777" w:rsidR="00A722E5" w:rsidRDefault="00A722E5" w:rsidP="007B24C3">
      <w:pPr>
        <w:pStyle w:val="NoSpacing"/>
      </w:pPr>
    </w:p>
    <w:tbl>
      <w:tblPr>
        <w:tblStyle w:val="TableGrid"/>
        <w:tblW w:w="0" w:type="auto"/>
        <w:tblLook w:val="04A0" w:firstRow="1" w:lastRow="0" w:firstColumn="1" w:lastColumn="0" w:noHBand="0" w:noVBand="1"/>
      </w:tblPr>
      <w:tblGrid>
        <w:gridCol w:w="4621"/>
        <w:gridCol w:w="9266"/>
      </w:tblGrid>
      <w:tr w:rsidR="00A722E5" w14:paraId="0AA64D83" w14:textId="77777777" w:rsidTr="003923AC">
        <w:tc>
          <w:tcPr>
            <w:tcW w:w="4621" w:type="dxa"/>
          </w:tcPr>
          <w:p w14:paraId="4383C3AE" w14:textId="77777777" w:rsidR="00A722E5" w:rsidRDefault="00055BC1" w:rsidP="007B24C3">
            <w:pPr>
              <w:pStyle w:val="NoSpacing"/>
            </w:pPr>
            <w:r>
              <w:t>Issue</w:t>
            </w:r>
          </w:p>
          <w:p w14:paraId="695E49FB" w14:textId="7026E259" w:rsidR="00A938AD" w:rsidRDefault="00A938AD" w:rsidP="007B24C3">
            <w:pPr>
              <w:pStyle w:val="NoSpacing"/>
            </w:pPr>
          </w:p>
        </w:tc>
        <w:tc>
          <w:tcPr>
            <w:tcW w:w="9266" w:type="dxa"/>
          </w:tcPr>
          <w:p w14:paraId="61491E57" w14:textId="4ED12C86" w:rsidR="009056B8" w:rsidRDefault="00055BC1" w:rsidP="00055BC1">
            <w:pPr>
              <w:pStyle w:val="NoSpacing"/>
            </w:pPr>
            <w:r>
              <w:t>Action</w:t>
            </w:r>
          </w:p>
          <w:p w14:paraId="4D1DC89F" w14:textId="77777777" w:rsidR="00055BC1" w:rsidRPr="00CD65D6" w:rsidRDefault="00055BC1" w:rsidP="00055BC1">
            <w:pPr>
              <w:pStyle w:val="NoSpacing"/>
            </w:pPr>
          </w:p>
        </w:tc>
      </w:tr>
      <w:tr w:rsidR="006405F0" w14:paraId="74A4FD24" w14:textId="77777777" w:rsidTr="006405F0">
        <w:trPr>
          <w:trHeight w:val="983"/>
        </w:trPr>
        <w:tc>
          <w:tcPr>
            <w:tcW w:w="4621" w:type="dxa"/>
          </w:tcPr>
          <w:p w14:paraId="4ED0A76A" w14:textId="77777777" w:rsidR="006405F0" w:rsidRPr="00B15811" w:rsidRDefault="006405F0" w:rsidP="007B24C3">
            <w:pPr>
              <w:pStyle w:val="NoSpacing"/>
              <w:rPr>
                <w:rStyle w:val="Strong"/>
                <w:rFonts w:cs="Arial"/>
              </w:rPr>
            </w:pPr>
            <w:r w:rsidRPr="00B15811">
              <w:rPr>
                <w:rStyle w:val="Strong"/>
                <w:rFonts w:cs="Arial"/>
              </w:rPr>
              <w:t>Financial Pressures</w:t>
            </w:r>
          </w:p>
          <w:p w14:paraId="044E12D1" w14:textId="35B37283" w:rsidR="00C7006D" w:rsidRPr="00B15811" w:rsidRDefault="00C7006D" w:rsidP="001F50CF">
            <w:pPr>
              <w:pStyle w:val="NoSpacing"/>
              <w:jc w:val="both"/>
              <w:rPr>
                <w:rStyle w:val="Strong"/>
                <w:rFonts w:cs="Arial"/>
              </w:rPr>
            </w:pPr>
            <w:r w:rsidRPr="00B15811">
              <w:rPr>
                <w:rFonts w:cs="Arial"/>
              </w:rPr>
              <w:t>The shorter Christmas break due to changes in semester timing may disproportionately affect students from lower-income backgrounds in seeking seasonal employment.</w:t>
            </w:r>
          </w:p>
        </w:tc>
        <w:tc>
          <w:tcPr>
            <w:tcW w:w="9266" w:type="dxa"/>
          </w:tcPr>
          <w:p w14:paraId="42348A28" w14:textId="05DBBFA3" w:rsidR="006405F0" w:rsidRPr="00B15811" w:rsidRDefault="006405F0" w:rsidP="006405F0">
            <w:pPr>
              <w:pStyle w:val="NormalWeb"/>
              <w:rPr>
                <w:rFonts w:ascii="Arial" w:hAnsi="Arial" w:cs="Arial"/>
              </w:rPr>
            </w:pPr>
            <w:r w:rsidRPr="00B15811">
              <w:rPr>
                <w:rStyle w:val="Emphasis"/>
                <w:rFonts w:ascii="Arial" w:hAnsi="Arial" w:cs="Arial"/>
              </w:rPr>
              <w:t>Mitigation:</w:t>
            </w:r>
            <w:r w:rsidRPr="00B15811">
              <w:rPr>
                <w:rFonts w:ascii="Arial" w:hAnsi="Arial" w:cs="Arial"/>
              </w:rPr>
              <w:t xml:space="preserve"> Clear communication and financial support options.</w:t>
            </w:r>
          </w:p>
        </w:tc>
      </w:tr>
      <w:tr w:rsidR="006405F0" w14:paraId="138E2F7F" w14:textId="77777777" w:rsidTr="006405F0">
        <w:trPr>
          <w:trHeight w:val="983"/>
        </w:trPr>
        <w:tc>
          <w:tcPr>
            <w:tcW w:w="4621" w:type="dxa"/>
          </w:tcPr>
          <w:p w14:paraId="4F5DCF54" w14:textId="77777777" w:rsidR="006405F0" w:rsidRPr="00B15811" w:rsidRDefault="006405F0" w:rsidP="001F50CF">
            <w:pPr>
              <w:pStyle w:val="NoSpacing"/>
              <w:jc w:val="both"/>
              <w:rPr>
                <w:rStyle w:val="Strong"/>
                <w:rFonts w:cs="Arial"/>
              </w:rPr>
            </w:pPr>
            <w:r w:rsidRPr="00B15811">
              <w:rPr>
                <w:rStyle w:val="Strong"/>
                <w:rFonts w:cs="Arial"/>
              </w:rPr>
              <w:t>Assessment Pressures</w:t>
            </w:r>
          </w:p>
          <w:p w14:paraId="08EB65B7" w14:textId="5CE7B0D7" w:rsidR="00C7006D" w:rsidRPr="00B15811" w:rsidRDefault="00C7006D" w:rsidP="001F50CF">
            <w:pPr>
              <w:pStyle w:val="NoSpacing"/>
              <w:jc w:val="both"/>
              <w:rPr>
                <w:rStyle w:val="Strong"/>
                <w:rFonts w:cs="Arial"/>
              </w:rPr>
            </w:pPr>
            <w:r w:rsidRPr="00B15811">
              <w:rPr>
                <w:rFonts w:cs="Arial"/>
              </w:rPr>
              <w:t>The shift in assessment schedules could disadvantage students with specific learning needs.</w:t>
            </w:r>
          </w:p>
        </w:tc>
        <w:tc>
          <w:tcPr>
            <w:tcW w:w="9266" w:type="dxa"/>
          </w:tcPr>
          <w:p w14:paraId="49A9D647" w14:textId="61D6A3BA" w:rsidR="006405F0" w:rsidRPr="00B15811" w:rsidRDefault="006405F0" w:rsidP="001F50CF">
            <w:pPr>
              <w:pStyle w:val="NormalWeb"/>
              <w:jc w:val="both"/>
              <w:rPr>
                <w:rFonts w:ascii="Arial" w:hAnsi="Arial" w:cs="Arial"/>
              </w:rPr>
            </w:pPr>
            <w:r w:rsidRPr="00B15811">
              <w:rPr>
                <w:rStyle w:val="Emphasis"/>
                <w:rFonts w:ascii="Arial" w:hAnsi="Arial" w:cs="Arial"/>
              </w:rPr>
              <w:t>Mitigation:</w:t>
            </w:r>
            <w:r w:rsidRPr="00B15811">
              <w:rPr>
                <w:rFonts w:ascii="Arial" w:hAnsi="Arial" w:cs="Arial"/>
              </w:rPr>
              <w:t xml:space="preserve"> Ensuring accessibility provisions and support structures remain in place</w:t>
            </w:r>
            <w:r w:rsidR="00AD25B9">
              <w:rPr>
                <w:rFonts w:ascii="Arial" w:hAnsi="Arial" w:cs="Arial"/>
              </w:rPr>
              <w:t xml:space="preserve"> and any other identified reasonable adjustments</w:t>
            </w:r>
            <w:r w:rsidRPr="00B15811">
              <w:rPr>
                <w:rFonts w:ascii="Arial" w:hAnsi="Arial" w:cs="Arial"/>
              </w:rPr>
              <w:t>.</w:t>
            </w:r>
          </w:p>
        </w:tc>
      </w:tr>
      <w:tr w:rsidR="006405F0" w14:paraId="40ABE555" w14:textId="77777777" w:rsidTr="006405F0">
        <w:trPr>
          <w:trHeight w:val="983"/>
        </w:trPr>
        <w:tc>
          <w:tcPr>
            <w:tcW w:w="4621" w:type="dxa"/>
          </w:tcPr>
          <w:p w14:paraId="06860F6A" w14:textId="77777777" w:rsidR="006405F0" w:rsidRPr="00B15811" w:rsidRDefault="006405F0" w:rsidP="001F50CF">
            <w:pPr>
              <w:pStyle w:val="NoSpacing"/>
              <w:jc w:val="both"/>
              <w:rPr>
                <w:rStyle w:val="Strong"/>
                <w:rFonts w:cs="Arial"/>
              </w:rPr>
            </w:pPr>
            <w:r w:rsidRPr="00B15811">
              <w:rPr>
                <w:rStyle w:val="Strong"/>
                <w:rFonts w:cs="Arial"/>
              </w:rPr>
              <w:t>Assessment timings</w:t>
            </w:r>
          </w:p>
          <w:p w14:paraId="096041F6" w14:textId="03E9841E" w:rsidR="00C7006D" w:rsidRPr="00B15811" w:rsidRDefault="00C7006D" w:rsidP="001F50CF">
            <w:pPr>
              <w:pStyle w:val="NoSpacing"/>
              <w:jc w:val="both"/>
              <w:rPr>
                <w:rStyle w:val="Strong"/>
                <w:rFonts w:cs="Arial"/>
              </w:rPr>
            </w:pPr>
            <w:r w:rsidRPr="00B15811">
              <w:rPr>
                <w:rFonts w:cs="Arial"/>
              </w:rPr>
              <w:t>Opportunities for resubmission</w:t>
            </w:r>
            <w:r w:rsidR="001F50CF">
              <w:rPr>
                <w:rFonts w:cs="Arial"/>
              </w:rPr>
              <w:t xml:space="preserve"> </w:t>
            </w:r>
            <w:r w:rsidRPr="00B15811">
              <w:rPr>
                <w:rFonts w:cs="Arial"/>
              </w:rPr>
              <w:t>/reassessment have potential to be different for students on ‘short fat’ as opposed to ‘long thin’ 30C modules.</w:t>
            </w:r>
          </w:p>
        </w:tc>
        <w:tc>
          <w:tcPr>
            <w:tcW w:w="9266" w:type="dxa"/>
          </w:tcPr>
          <w:p w14:paraId="5584F5DF" w14:textId="1069446F" w:rsidR="00C7006D" w:rsidRPr="00B15811" w:rsidRDefault="00C7006D" w:rsidP="001F50CF">
            <w:pPr>
              <w:pStyle w:val="NormalWeb"/>
              <w:jc w:val="both"/>
              <w:rPr>
                <w:rFonts w:ascii="Arial" w:hAnsi="Arial" w:cs="Arial"/>
              </w:rPr>
            </w:pPr>
            <w:r w:rsidRPr="00B15811">
              <w:rPr>
                <w:rFonts w:ascii="Arial" w:hAnsi="Arial" w:cs="Arial"/>
                <w:i/>
                <w:iCs/>
              </w:rPr>
              <w:t>Mitigation</w:t>
            </w:r>
            <w:r w:rsidRPr="00B15811">
              <w:rPr>
                <w:rFonts w:ascii="Arial" w:hAnsi="Arial" w:cs="Arial"/>
              </w:rPr>
              <w:t>: Registrar to ensure new iteration of the regulations presents equivalent</w:t>
            </w:r>
            <w:r w:rsidR="00AD25B9">
              <w:rPr>
                <w:rFonts w:ascii="Arial" w:hAnsi="Arial" w:cs="Arial"/>
              </w:rPr>
              <w:t xml:space="preserve"> and inclusive </w:t>
            </w:r>
            <w:r w:rsidRPr="00B15811">
              <w:rPr>
                <w:rFonts w:ascii="Arial" w:hAnsi="Arial" w:cs="Arial"/>
              </w:rPr>
              <w:t>opportunities for assessment for all students</w:t>
            </w:r>
            <w:r w:rsidR="00D54FE5">
              <w:rPr>
                <w:rFonts w:ascii="Arial" w:hAnsi="Arial" w:cs="Arial"/>
              </w:rPr>
              <w:t>, particularly those with disabilities</w:t>
            </w:r>
            <w:r w:rsidRPr="00B15811">
              <w:rPr>
                <w:rFonts w:ascii="Arial" w:hAnsi="Arial" w:cs="Arial"/>
              </w:rPr>
              <w:t>.</w:t>
            </w:r>
          </w:p>
          <w:p w14:paraId="4CCF1D82" w14:textId="77777777" w:rsidR="006405F0" w:rsidRPr="00B15811" w:rsidRDefault="006405F0" w:rsidP="001F50CF">
            <w:pPr>
              <w:pStyle w:val="NormalWeb"/>
              <w:jc w:val="both"/>
              <w:rPr>
                <w:rFonts w:ascii="Arial" w:hAnsi="Arial" w:cs="Arial"/>
              </w:rPr>
            </w:pPr>
          </w:p>
        </w:tc>
      </w:tr>
      <w:tr w:rsidR="00C7006D" w14:paraId="46029D51" w14:textId="77777777" w:rsidTr="006405F0">
        <w:trPr>
          <w:trHeight w:val="983"/>
        </w:trPr>
        <w:tc>
          <w:tcPr>
            <w:tcW w:w="4621" w:type="dxa"/>
          </w:tcPr>
          <w:p w14:paraId="1D84862B" w14:textId="15BE6F7D" w:rsidR="00C7006D" w:rsidRPr="00B15811" w:rsidRDefault="00C7006D" w:rsidP="001F50CF">
            <w:pPr>
              <w:pStyle w:val="NoSpacing"/>
              <w:jc w:val="both"/>
              <w:rPr>
                <w:rStyle w:val="Strong"/>
                <w:rFonts w:cs="Arial"/>
              </w:rPr>
            </w:pPr>
            <w:r w:rsidRPr="00B15811">
              <w:rPr>
                <w:rStyle w:val="Strong"/>
                <w:rFonts w:cs="Arial"/>
              </w:rPr>
              <w:t>Potential Challenges for Caregivers</w:t>
            </w:r>
            <w:r w:rsidRPr="00B15811">
              <w:rPr>
                <w:rFonts w:cs="Arial"/>
              </w:rPr>
              <w:t>: Students with caregiving responsibilities may face difficulties in scheduling.</w:t>
            </w:r>
          </w:p>
        </w:tc>
        <w:tc>
          <w:tcPr>
            <w:tcW w:w="9266" w:type="dxa"/>
          </w:tcPr>
          <w:p w14:paraId="001BCFE1" w14:textId="380B5783" w:rsidR="00C7006D" w:rsidRPr="00B15811" w:rsidRDefault="00C7006D" w:rsidP="001F50CF">
            <w:pPr>
              <w:pStyle w:val="NormalWeb"/>
              <w:jc w:val="both"/>
              <w:rPr>
                <w:rFonts w:ascii="Arial" w:hAnsi="Arial" w:cs="Arial"/>
                <w:i/>
                <w:iCs/>
              </w:rPr>
            </w:pPr>
            <w:r w:rsidRPr="00B15811">
              <w:rPr>
                <w:rStyle w:val="Emphasis"/>
                <w:rFonts w:ascii="Arial" w:hAnsi="Arial" w:cs="Arial"/>
              </w:rPr>
              <w:t>Mitigation:</w:t>
            </w:r>
            <w:r w:rsidRPr="00B15811">
              <w:rPr>
                <w:rFonts w:ascii="Arial" w:hAnsi="Arial" w:cs="Arial"/>
              </w:rPr>
              <w:t xml:space="preserve"> Early provision of timetables to students to enable appropriate arrangements to be made and tailored support where needed.</w:t>
            </w:r>
          </w:p>
        </w:tc>
      </w:tr>
      <w:tr w:rsidR="0068385E" w14:paraId="6C6C8E8D" w14:textId="77777777" w:rsidTr="006405F0">
        <w:trPr>
          <w:trHeight w:val="983"/>
        </w:trPr>
        <w:tc>
          <w:tcPr>
            <w:tcW w:w="4621" w:type="dxa"/>
          </w:tcPr>
          <w:p w14:paraId="28BCA215" w14:textId="3AD777D5" w:rsidR="0068385E" w:rsidRPr="00B15811" w:rsidRDefault="0068385E" w:rsidP="007B24C3">
            <w:pPr>
              <w:pStyle w:val="NoSpacing"/>
              <w:rPr>
                <w:rStyle w:val="Strong"/>
                <w:rFonts w:cs="Arial"/>
              </w:rPr>
            </w:pPr>
            <w:r w:rsidRPr="00B15811">
              <w:rPr>
                <w:rStyle w:val="Strong"/>
                <w:rFonts w:cs="Arial"/>
              </w:rPr>
              <w:t>Equity in Research Opportunities</w:t>
            </w:r>
            <w:r w:rsidRPr="00B15811">
              <w:rPr>
                <w:rFonts w:cs="Arial"/>
              </w:rPr>
              <w:t>: Variability in research time access across disciplines may emerge.</w:t>
            </w:r>
          </w:p>
        </w:tc>
        <w:tc>
          <w:tcPr>
            <w:tcW w:w="9266" w:type="dxa"/>
          </w:tcPr>
          <w:p w14:paraId="0E724BD2" w14:textId="77777777" w:rsidR="0068385E" w:rsidRPr="00B15811" w:rsidRDefault="0068385E" w:rsidP="001F50CF">
            <w:pPr>
              <w:pStyle w:val="NormalWeb"/>
              <w:jc w:val="both"/>
              <w:rPr>
                <w:rFonts w:ascii="Arial" w:hAnsi="Arial" w:cs="Arial"/>
              </w:rPr>
            </w:pPr>
            <w:r w:rsidRPr="00B15811">
              <w:rPr>
                <w:rStyle w:val="Emphasis"/>
                <w:rFonts w:ascii="Arial" w:hAnsi="Arial" w:cs="Arial"/>
              </w:rPr>
              <w:t>Mitigation:</w:t>
            </w:r>
            <w:r w:rsidRPr="00B15811">
              <w:rPr>
                <w:rFonts w:ascii="Arial" w:hAnsi="Arial" w:cs="Arial"/>
              </w:rPr>
              <w:t xml:space="preserve"> Ensuring the current transparent policies on workload allocation are observed in all subjects.</w:t>
            </w:r>
          </w:p>
          <w:p w14:paraId="67A2D259" w14:textId="77777777" w:rsidR="0068385E" w:rsidRPr="00B15811" w:rsidRDefault="0068385E" w:rsidP="001F50CF">
            <w:pPr>
              <w:pStyle w:val="NormalWeb"/>
              <w:jc w:val="both"/>
              <w:rPr>
                <w:rStyle w:val="Emphasis"/>
                <w:rFonts w:ascii="Arial" w:hAnsi="Arial" w:cs="Arial"/>
              </w:rPr>
            </w:pPr>
          </w:p>
        </w:tc>
      </w:tr>
      <w:tr w:rsidR="000252EC" w14:paraId="4D19185C" w14:textId="77777777" w:rsidTr="006405F0">
        <w:trPr>
          <w:trHeight w:val="983"/>
        </w:trPr>
        <w:tc>
          <w:tcPr>
            <w:tcW w:w="4621" w:type="dxa"/>
          </w:tcPr>
          <w:p w14:paraId="0E3E2D3B" w14:textId="6DD75A5C" w:rsidR="000252EC" w:rsidRPr="00B15811" w:rsidRDefault="000252EC" w:rsidP="000252EC">
            <w:pPr>
              <w:pStyle w:val="NoSpacing"/>
              <w:rPr>
                <w:rStyle w:val="Strong"/>
                <w:rFonts w:cs="Arial"/>
              </w:rPr>
            </w:pPr>
            <w:r>
              <w:rPr>
                <w:rStyle w:val="Strong"/>
                <w:rFonts w:cs="Arial"/>
              </w:rPr>
              <w:t xml:space="preserve">Consideration for Foundation Year students transitioning into Year 1: </w:t>
            </w:r>
            <w:r w:rsidRPr="000252EC">
              <w:rPr>
                <w:rStyle w:val="Strong"/>
                <w:rFonts w:cs="Arial"/>
                <w:b w:val="0"/>
                <w:bCs w:val="0"/>
              </w:rPr>
              <w:t>Students entering Year 1 from the Foundation Year will experience change in the structure of the academic year</w:t>
            </w:r>
            <w:r>
              <w:rPr>
                <w:rStyle w:val="Strong"/>
                <w:rFonts w:cs="Arial"/>
              </w:rPr>
              <w:t xml:space="preserve"> </w:t>
            </w:r>
          </w:p>
        </w:tc>
        <w:tc>
          <w:tcPr>
            <w:tcW w:w="9266" w:type="dxa"/>
          </w:tcPr>
          <w:p w14:paraId="0259E0FE" w14:textId="0AF2BB0B" w:rsidR="000252EC" w:rsidRPr="00B15811" w:rsidRDefault="000252EC" w:rsidP="001F50CF">
            <w:pPr>
              <w:pStyle w:val="NormalWeb"/>
              <w:jc w:val="both"/>
              <w:rPr>
                <w:rStyle w:val="Emphasis"/>
                <w:rFonts w:ascii="Arial" w:hAnsi="Arial" w:cs="Arial"/>
              </w:rPr>
            </w:pPr>
            <w:r w:rsidRPr="000252EC">
              <w:rPr>
                <w:rFonts w:ascii="Arial" w:hAnsi="Arial" w:cs="Arial"/>
                <w:i/>
                <w:iCs/>
              </w:rPr>
              <w:t>Mitigation:</w:t>
            </w:r>
            <w:r w:rsidRPr="000252EC">
              <w:rPr>
                <w:rFonts w:ascii="Arial" w:hAnsi="Arial" w:cs="Arial"/>
              </w:rPr>
              <w:t xml:space="preserve"> Ensure Foundation Year students are well informed of the new structure being introduced. Provide a tailored induction package for this cohort which focuses on their transition to Year 1 and the support services available to them</w:t>
            </w:r>
            <w:r>
              <w:rPr>
                <w:rFonts w:ascii="Arial" w:hAnsi="Arial" w:cs="Arial"/>
              </w:rPr>
              <w:t xml:space="preserve">. </w:t>
            </w:r>
            <w:r w:rsidRPr="000252EC">
              <w:rPr>
                <w:rFonts w:ascii="Arial" w:hAnsi="Arial" w:cs="Arial"/>
              </w:rPr>
              <w:t xml:space="preserve"> </w:t>
            </w:r>
          </w:p>
        </w:tc>
      </w:tr>
      <w:tr w:rsidR="000252EC" w14:paraId="0DFD3D38" w14:textId="77777777" w:rsidTr="006405F0">
        <w:trPr>
          <w:trHeight w:val="983"/>
        </w:trPr>
        <w:tc>
          <w:tcPr>
            <w:tcW w:w="4621" w:type="dxa"/>
          </w:tcPr>
          <w:p w14:paraId="504B8A6D" w14:textId="08F24065" w:rsidR="000252EC" w:rsidRPr="00B15811" w:rsidRDefault="000252EC" w:rsidP="000252EC">
            <w:pPr>
              <w:pStyle w:val="NoSpacing"/>
              <w:rPr>
                <w:rStyle w:val="Strong"/>
                <w:rFonts w:cs="Arial"/>
              </w:rPr>
            </w:pPr>
            <w:r w:rsidRPr="00B15811">
              <w:rPr>
                <w:rStyle w:val="Strong"/>
                <w:rFonts w:cs="Arial"/>
              </w:rPr>
              <w:t>Student and Staff Consultation</w:t>
            </w:r>
          </w:p>
        </w:tc>
        <w:tc>
          <w:tcPr>
            <w:tcW w:w="9266" w:type="dxa"/>
          </w:tcPr>
          <w:p w14:paraId="7D0A44C5" w14:textId="4E1E6B3D" w:rsidR="000252EC" w:rsidRPr="00B15811" w:rsidRDefault="000252EC" w:rsidP="001F50CF">
            <w:pPr>
              <w:pStyle w:val="NormalWeb"/>
              <w:jc w:val="both"/>
              <w:rPr>
                <w:rStyle w:val="Emphasis"/>
                <w:rFonts w:ascii="Arial" w:hAnsi="Arial" w:cs="Arial"/>
              </w:rPr>
            </w:pPr>
            <w:r w:rsidRPr="00B15811">
              <w:rPr>
                <w:rFonts w:ascii="Arial" w:hAnsi="Arial" w:cs="Arial"/>
              </w:rPr>
              <w:t>Ongoing engagement with students and staff, particularly from underrepresented groups, throughout implementation.</w:t>
            </w:r>
          </w:p>
        </w:tc>
      </w:tr>
      <w:tr w:rsidR="000252EC" w14:paraId="4409CB57" w14:textId="77777777" w:rsidTr="006405F0">
        <w:trPr>
          <w:trHeight w:val="983"/>
        </w:trPr>
        <w:tc>
          <w:tcPr>
            <w:tcW w:w="4621" w:type="dxa"/>
          </w:tcPr>
          <w:p w14:paraId="76824AB0" w14:textId="5C820140" w:rsidR="000252EC" w:rsidRPr="00B15811" w:rsidRDefault="000252EC" w:rsidP="000252EC">
            <w:pPr>
              <w:pStyle w:val="NoSpacing"/>
              <w:rPr>
                <w:rStyle w:val="Strong"/>
                <w:rFonts w:cs="Arial"/>
              </w:rPr>
            </w:pPr>
            <w:r w:rsidRPr="00B15811">
              <w:rPr>
                <w:rStyle w:val="Strong"/>
                <w:rFonts w:cs="Arial"/>
              </w:rPr>
              <w:t>Support Services</w:t>
            </w:r>
          </w:p>
        </w:tc>
        <w:tc>
          <w:tcPr>
            <w:tcW w:w="9266" w:type="dxa"/>
          </w:tcPr>
          <w:p w14:paraId="4A6730FC" w14:textId="77777777" w:rsidR="000252EC" w:rsidRPr="00B15811" w:rsidRDefault="000252EC" w:rsidP="001F50CF">
            <w:pPr>
              <w:pStyle w:val="NormalWeb"/>
              <w:jc w:val="both"/>
              <w:rPr>
                <w:rFonts w:ascii="Arial" w:hAnsi="Arial" w:cs="Arial"/>
              </w:rPr>
            </w:pPr>
            <w:r w:rsidRPr="00B15811">
              <w:rPr>
                <w:rFonts w:ascii="Arial" w:hAnsi="Arial" w:cs="Arial"/>
              </w:rPr>
              <w:t>Ensure involvement of colleagues from student support services/People Service, particularly around disability, mental health, and financial support.</w:t>
            </w:r>
          </w:p>
          <w:p w14:paraId="7F78455C" w14:textId="77777777" w:rsidR="000252EC" w:rsidRPr="00B15811" w:rsidRDefault="000252EC" w:rsidP="001F50CF">
            <w:pPr>
              <w:pStyle w:val="NormalWeb"/>
              <w:jc w:val="both"/>
              <w:rPr>
                <w:rFonts w:ascii="Arial" w:hAnsi="Arial" w:cs="Arial"/>
              </w:rPr>
            </w:pPr>
          </w:p>
        </w:tc>
      </w:tr>
      <w:tr w:rsidR="000252EC" w14:paraId="4FD74FDC" w14:textId="77777777" w:rsidTr="006405F0">
        <w:trPr>
          <w:trHeight w:val="983"/>
        </w:trPr>
        <w:tc>
          <w:tcPr>
            <w:tcW w:w="4621" w:type="dxa"/>
          </w:tcPr>
          <w:p w14:paraId="22A54C02" w14:textId="60E9BF58" w:rsidR="000252EC" w:rsidRPr="00B15811" w:rsidRDefault="000252EC" w:rsidP="000252EC">
            <w:pPr>
              <w:pStyle w:val="NoSpacing"/>
              <w:rPr>
                <w:rStyle w:val="Strong"/>
                <w:rFonts w:cs="Arial"/>
              </w:rPr>
            </w:pPr>
            <w:r w:rsidRPr="00B15811">
              <w:rPr>
                <w:rStyle w:val="Strong"/>
                <w:rFonts w:cs="Arial"/>
              </w:rPr>
              <w:t>Monitoring &amp; Evaluation</w:t>
            </w:r>
          </w:p>
        </w:tc>
        <w:tc>
          <w:tcPr>
            <w:tcW w:w="9266" w:type="dxa"/>
          </w:tcPr>
          <w:p w14:paraId="3A61AA84" w14:textId="2175B862" w:rsidR="000252EC" w:rsidRPr="00B15811" w:rsidRDefault="000252EC" w:rsidP="001F50CF">
            <w:pPr>
              <w:pStyle w:val="NormalWeb"/>
              <w:jc w:val="both"/>
              <w:rPr>
                <w:rFonts w:ascii="Arial" w:hAnsi="Arial" w:cs="Arial"/>
              </w:rPr>
            </w:pPr>
            <w:r w:rsidRPr="00B15811">
              <w:rPr>
                <w:rFonts w:ascii="Arial" w:hAnsi="Arial" w:cs="Arial"/>
              </w:rPr>
              <w:t>Establish a working group to review the impact of changes including on matters related equality and diversity, over time.</w:t>
            </w:r>
          </w:p>
        </w:tc>
      </w:tr>
      <w:tr w:rsidR="000252EC" w14:paraId="4217A06C" w14:textId="77777777" w:rsidTr="006405F0">
        <w:trPr>
          <w:trHeight w:val="983"/>
        </w:trPr>
        <w:tc>
          <w:tcPr>
            <w:tcW w:w="4621" w:type="dxa"/>
          </w:tcPr>
          <w:p w14:paraId="14E31E2B" w14:textId="74C15628" w:rsidR="000252EC" w:rsidRPr="00B15811" w:rsidRDefault="000252EC" w:rsidP="000252EC">
            <w:pPr>
              <w:pStyle w:val="NoSpacing"/>
              <w:rPr>
                <w:rStyle w:val="Strong"/>
                <w:rFonts w:cs="Arial"/>
              </w:rPr>
            </w:pPr>
            <w:r w:rsidRPr="00B15811">
              <w:rPr>
                <w:rStyle w:val="Strong"/>
                <w:rFonts w:cs="Arial"/>
              </w:rPr>
              <w:t>Training &amp; Development</w:t>
            </w:r>
          </w:p>
        </w:tc>
        <w:tc>
          <w:tcPr>
            <w:tcW w:w="9266" w:type="dxa"/>
          </w:tcPr>
          <w:p w14:paraId="68092685" w14:textId="58C91E96" w:rsidR="000252EC" w:rsidRPr="00B15811" w:rsidRDefault="000252EC" w:rsidP="001F50CF">
            <w:pPr>
              <w:pStyle w:val="NormalWeb"/>
              <w:jc w:val="both"/>
              <w:rPr>
                <w:rFonts w:ascii="Arial" w:hAnsi="Arial" w:cs="Arial"/>
              </w:rPr>
            </w:pPr>
            <w:r w:rsidRPr="00B15811">
              <w:rPr>
                <w:rFonts w:ascii="Arial" w:hAnsi="Arial" w:cs="Arial"/>
              </w:rPr>
              <w:t>Provide targeted training for staff on adapting teaching and assessment methods to the new framework.</w:t>
            </w:r>
          </w:p>
        </w:tc>
      </w:tr>
    </w:tbl>
    <w:p w14:paraId="1DBE12AF" w14:textId="77777777" w:rsidR="00B60C04" w:rsidRDefault="00B60C04" w:rsidP="00B60C04">
      <w:pPr>
        <w:pStyle w:val="Heading2"/>
        <w:rPr>
          <w:rFonts w:ascii="Arial" w:hAnsi="Arial" w:cs="Arial"/>
          <w:color w:val="auto"/>
          <w:sz w:val="24"/>
          <w:szCs w:val="24"/>
        </w:rPr>
      </w:pPr>
      <w:r w:rsidRPr="00B60C04">
        <w:rPr>
          <w:rFonts w:ascii="Arial" w:hAnsi="Arial" w:cs="Arial"/>
          <w:color w:val="auto"/>
          <w:sz w:val="24"/>
          <w:szCs w:val="24"/>
        </w:rPr>
        <w:t>Potential for promoting equality of opportunity, inclusion and fostering good relations</w:t>
      </w:r>
    </w:p>
    <w:tbl>
      <w:tblPr>
        <w:tblStyle w:val="TableGrid"/>
        <w:tblW w:w="0" w:type="auto"/>
        <w:tblLook w:val="04A0" w:firstRow="1" w:lastRow="0" w:firstColumn="1" w:lastColumn="0" w:noHBand="0" w:noVBand="1"/>
      </w:tblPr>
      <w:tblGrid>
        <w:gridCol w:w="13948"/>
      </w:tblGrid>
      <w:tr w:rsidR="00B60C04" w14:paraId="2E8D4D87" w14:textId="77777777" w:rsidTr="00B60C04">
        <w:tc>
          <w:tcPr>
            <w:tcW w:w="13948" w:type="dxa"/>
          </w:tcPr>
          <w:p w14:paraId="6521EDB0" w14:textId="77777777" w:rsidR="00C7006D" w:rsidRPr="00B15811" w:rsidRDefault="00C7006D" w:rsidP="00C7006D">
            <w:pPr>
              <w:pStyle w:val="NormalWeb"/>
              <w:rPr>
                <w:rFonts w:ascii="Arial" w:hAnsi="Arial" w:cs="Arial"/>
              </w:rPr>
            </w:pPr>
            <w:r w:rsidRPr="00B15811">
              <w:rPr>
                <w:rStyle w:val="Emphasis"/>
                <w:rFonts w:ascii="Arial" w:hAnsi="Arial" w:cs="Arial"/>
              </w:rPr>
              <w:t>Positive Impacts:</w:t>
            </w:r>
          </w:p>
          <w:p w14:paraId="61A863DC" w14:textId="77777777" w:rsidR="00C7006D" w:rsidRPr="00B15811" w:rsidRDefault="00C7006D" w:rsidP="001F50CF">
            <w:pPr>
              <w:pStyle w:val="NormalWeb"/>
              <w:numPr>
                <w:ilvl w:val="0"/>
                <w:numId w:val="21"/>
              </w:numPr>
              <w:jc w:val="both"/>
              <w:rPr>
                <w:rFonts w:ascii="Arial" w:hAnsi="Arial" w:cs="Arial"/>
              </w:rPr>
            </w:pPr>
            <w:r w:rsidRPr="00B15811">
              <w:rPr>
                <w:rStyle w:val="Strong"/>
                <w:rFonts w:ascii="Arial" w:hAnsi="Arial" w:cs="Arial"/>
              </w:rPr>
              <w:t>Flexibility &amp; Work Opportunities</w:t>
            </w:r>
            <w:r w:rsidRPr="00B15811">
              <w:rPr>
                <w:rFonts w:ascii="Arial" w:hAnsi="Arial" w:cs="Arial"/>
              </w:rPr>
              <w:t>: The two-semester model allows students more opportunities for part-time work and experiential learning, benefiting those from lower socio-economic backgrounds.</w:t>
            </w:r>
          </w:p>
          <w:p w14:paraId="140BD07B" w14:textId="77777777" w:rsidR="00C7006D" w:rsidRPr="00B15811" w:rsidRDefault="00C7006D" w:rsidP="001F50CF">
            <w:pPr>
              <w:pStyle w:val="NormalWeb"/>
              <w:numPr>
                <w:ilvl w:val="0"/>
                <w:numId w:val="21"/>
              </w:numPr>
              <w:jc w:val="both"/>
              <w:rPr>
                <w:rFonts w:ascii="Arial" w:hAnsi="Arial" w:cs="Arial"/>
              </w:rPr>
            </w:pPr>
            <w:r w:rsidRPr="00B15811">
              <w:rPr>
                <w:rStyle w:val="Strong"/>
                <w:rFonts w:ascii="Arial" w:hAnsi="Arial" w:cs="Arial"/>
              </w:rPr>
              <w:t>International Student Inclusion</w:t>
            </w:r>
            <w:r w:rsidRPr="00B15811">
              <w:rPr>
                <w:rFonts w:ascii="Arial" w:hAnsi="Arial" w:cs="Arial"/>
              </w:rPr>
              <w:t>: Aligning with international university schedules will facilitate study abroad opportunities and ease transitions for international students.</w:t>
            </w:r>
          </w:p>
          <w:p w14:paraId="2449C531" w14:textId="77777777" w:rsidR="00C7006D" w:rsidRPr="00B15811" w:rsidRDefault="00C7006D" w:rsidP="001F50CF">
            <w:pPr>
              <w:pStyle w:val="NormalWeb"/>
              <w:numPr>
                <w:ilvl w:val="0"/>
                <w:numId w:val="21"/>
              </w:numPr>
              <w:jc w:val="both"/>
              <w:rPr>
                <w:rFonts w:ascii="Arial" w:hAnsi="Arial" w:cs="Arial"/>
              </w:rPr>
            </w:pPr>
            <w:r w:rsidRPr="00B15811">
              <w:rPr>
                <w:rStyle w:val="Strong"/>
                <w:rFonts w:ascii="Arial" w:hAnsi="Arial" w:cs="Arial"/>
              </w:rPr>
              <w:t>Curriculum Accessibility</w:t>
            </w:r>
            <w:r w:rsidRPr="00B15811">
              <w:rPr>
                <w:rFonts w:ascii="Arial" w:hAnsi="Arial" w:cs="Arial"/>
              </w:rPr>
              <w:t>: Smaller modules enable students to tailor their learning pathways, enhancing student engagement and catering to diverse learning needs.</w:t>
            </w:r>
          </w:p>
          <w:p w14:paraId="3D1EBFB8" w14:textId="77777777" w:rsidR="00C7006D" w:rsidRPr="00B15811" w:rsidRDefault="00C7006D" w:rsidP="001F50CF">
            <w:pPr>
              <w:pStyle w:val="NormalWeb"/>
              <w:numPr>
                <w:ilvl w:val="0"/>
                <w:numId w:val="21"/>
              </w:numPr>
              <w:jc w:val="both"/>
              <w:rPr>
                <w:rFonts w:ascii="Arial" w:hAnsi="Arial" w:cs="Arial"/>
              </w:rPr>
            </w:pPr>
            <w:r w:rsidRPr="00B15811">
              <w:rPr>
                <w:rStyle w:val="Strong"/>
                <w:rFonts w:ascii="Arial" w:hAnsi="Arial" w:cs="Arial"/>
              </w:rPr>
              <w:t>Mental Health &amp; Well-being</w:t>
            </w:r>
            <w:r w:rsidRPr="00B15811">
              <w:rPr>
                <w:rFonts w:ascii="Arial" w:hAnsi="Arial" w:cs="Arial"/>
              </w:rPr>
              <w:t>: Introducing flexibility in teaching schedules and options in the curriculum can reduce academic pressure and improve student well-being.</w:t>
            </w:r>
          </w:p>
          <w:p w14:paraId="5FADC44B" w14:textId="336DA276" w:rsidR="00C7006D" w:rsidRPr="00B15811" w:rsidRDefault="00C7006D" w:rsidP="001F50CF">
            <w:pPr>
              <w:pStyle w:val="NormalWeb"/>
              <w:numPr>
                <w:ilvl w:val="0"/>
                <w:numId w:val="21"/>
              </w:numPr>
              <w:jc w:val="both"/>
              <w:rPr>
                <w:rFonts w:ascii="Arial" w:hAnsi="Arial" w:cs="Arial"/>
              </w:rPr>
            </w:pPr>
            <w:r w:rsidRPr="00B15811">
              <w:rPr>
                <w:rStyle w:val="Strong"/>
                <w:rFonts w:ascii="Arial" w:hAnsi="Arial" w:cs="Arial"/>
              </w:rPr>
              <w:t>Inclusivity for Late Enrolment Students</w:t>
            </w:r>
            <w:r w:rsidRPr="00B15811">
              <w:rPr>
                <w:rFonts w:ascii="Arial" w:hAnsi="Arial" w:cs="Arial"/>
              </w:rPr>
              <w:t>: Additional ‘catch-up’ induction periods will support students entering via clearing, ensuring they integrate smoothly.</w:t>
            </w:r>
          </w:p>
          <w:p w14:paraId="24550416" w14:textId="4C8B757C" w:rsidR="0068385E" w:rsidRPr="00B15811" w:rsidRDefault="0068385E" w:rsidP="001F50CF">
            <w:pPr>
              <w:pStyle w:val="NormalWeb"/>
              <w:jc w:val="both"/>
              <w:rPr>
                <w:rFonts w:ascii="Arial" w:hAnsi="Arial" w:cs="Arial"/>
              </w:rPr>
            </w:pPr>
            <w:r w:rsidRPr="00B15811">
              <w:rPr>
                <w:rStyle w:val="Emphasis"/>
                <w:rFonts w:ascii="Arial" w:hAnsi="Arial" w:cs="Arial"/>
              </w:rPr>
              <w:t>Potential positive Impacts on staff:</w:t>
            </w:r>
          </w:p>
          <w:p w14:paraId="6C8A7C15" w14:textId="77777777" w:rsidR="0068385E" w:rsidRPr="00B15811" w:rsidRDefault="0068385E" w:rsidP="001F50CF">
            <w:pPr>
              <w:pStyle w:val="NormalWeb"/>
              <w:numPr>
                <w:ilvl w:val="0"/>
                <w:numId w:val="25"/>
              </w:numPr>
              <w:jc w:val="both"/>
              <w:rPr>
                <w:rFonts w:ascii="Arial" w:hAnsi="Arial" w:cs="Arial"/>
              </w:rPr>
            </w:pPr>
            <w:r w:rsidRPr="00B15811">
              <w:rPr>
                <w:rStyle w:val="Strong"/>
                <w:rFonts w:ascii="Arial" w:hAnsi="Arial" w:cs="Arial"/>
              </w:rPr>
              <w:t>Research &amp; Leave Flexibility</w:t>
            </w:r>
            <w:r w:rsidRPr="00B15811">
              <w:rPr>
                <w:rFonts w:ascii="Arial" w:hAnsi="Arial" w:cs="Arial"/>
              </w:rPr>
              <w:t>: Consolidated periods of non-teaching time provide opportunities for research, professional development, and leave.</w:t>
            </w:r>
          </w:p>
          <w:p w14:paraId="17C72565" w14:textId="77777777" w:rsidR="0068385E" w:rsidRPr="00B15811" w:rsidRDefault="0068385E" w:rsidP="001F50CF">
            <w:pPr>
              <w:pStyle w:val="NormalWeb"/>
              <w:numPr>
                <w:ilvl w:val="0"/>
                <w:numId w:val="25"/>
              </w:numPr>
              <w:jc w:val="both"/>
              <w:rPr>
                <w:rFonts w:ascii="Arial" w:hAnsi="Arial" w:cs="Arial"/>
              </w:rPr>
            </w:pPr>
            <w:r w:rsidRPr="00B15811">
              <w:rPr>
                <w:rStyle w:val="Strong"/>
                <w:rFonts w:ascii="Arial" w:hAnsi="Arial" w:cs="Arial"/>
              </w:rPr>
              <w:t>Improved Workload Management</w:t>
            </w:r>
            <w:r w:rsidRPr="00B15811">
              <w:rPr>
                <w:rFonts w:ascii="Arial" w:hAnsi="Arial" w:cs="Arial"/>
              </w:rPr>
              <w:t>: More frequent and structured assessment periods help with workload predictability.</w:t>
            </w:r>
          </w:p>
          <w:p w14:paraId="4DF25F98" w14:textId="77777777" w:rsidR="0068385E" w:rsidRPr="00B15811" w:rsidRDefault="0068385E" w:rsidP="001F50CF">
            <w:pPr>
              <w:pStyle w:val="NormalWeb"/>
              <w:numPr>
                <w:ilvl w:val="0"/>
                <w:numId w:val="25"/>
              </w:numPr>
              <w:jc w:val="both"/>
              <w:rPr>
                <w:rFonts w:ascii="Arial" w:hAnsi="Arial" w:cs="Arial"/>
              </w:rPr>
            </w:pPr>
            <w:r w:rsidRPr="00B15811">
              <w:rPr>
                <w:rStyle w:val="Strong"/>
                <w:rFonts w:ascii="Arial" w:hAnsi="Arial" w:cs="Arial"/>
              </w:rPr>
              <w:t>Increased Engagement with International Networks</w:t>
            </w:r>
            <w:r w:rsidRPr="00B15811">
              <w:rPr>
                <w:rFonts w:ascii="Arial" w:hAnsi="Arial" w:cs="Arial"/>
              </w:rPr>
              <w:t>: The alignment with international semester structures fosters collaborative opportunities.</w:t>
            </w:r>
          </w:p>
          <w:p w14:paraId="5A62C558" w14:textId="150E4CB4" w:rsidR="00B60C04" w:rsidRPr="001F50CF" w:rsidRDefault="0068385E" w:rsidP="001F50CF">
            <w:pPr>
              <w:pStyle w:val="NormalWeb"/>
              <w:numPr>
                <w:ilvl w:val="0"/>
                <w:numId w:val="25"/>
              </w:numPr>
              <w:jc w:val="both"/>
              <w:rPr>
                <w:rFonts w:ascii="Arial" w:hAnsi="Arial" w:cs="Arial"/>
                <w:lang w:eastAsia="zh-CN"/>
              </w:rPr>
            </w:pPr>
            <w:r w:rsidRPr="001F50CF">
              <w:rPr>
                <w:rStyle w:val="Strong"/>
                <w:rFonts w:ascii="Arial" w:hAnsi="Arial" w:cs="Arial"/>
              </w:rPr>
              <w:t>Inclusivity for Staff with Caring Responsibilities</w:t>
            </w:r>
            <w:r w:rsidRPr="001F50CF">
              <w:rPr>
                <w:rFonts w:ascii="Arial" w:hAnsi="Arial" w:cs="Arial"/>
              </w:rPr>
              <w:t xml:space="preserve">: </w:t>
            </w:r>
            <w:r w:rsidR="00A938AD" w:rsidRPr="001F50CF">
              <w:rPr>
                <w:rFonts w:ascii="Arial" w:hAnsi="Arial" w:cs="Arial"/>
              </w:rPr>
              <w:t>This assessment identifies both opportunities and challenges in implementing the proposed changes. By proactively addressing potential negative impacts and leveraging the benefits, the University can ensure that the new academic framework is equitable and enhances the experience of all students and staff</w:t>
            </w:r>
            <w:r w:rsidR="00B15811" w:rsidRPr="001F50CF">
              <w:rPr>
                <w:rFonts w:ascii="Arial" w:hAnsi="Arial" w:cs="Arial"/>
              </w:rPr>
              <w:t xml:space="preserve">. </w:t>
            </w:r>
          </w:p>
          <w:p w14:paraId="1A39981D" w14:textId="77777777" w:rsidR="00B60C04" w:rsidRDefault="00B60C04" w:rsidP="00B60C04">
            <w:pPr>
              <w:rPr>
                <w:lang w:eastAsia="zh-CN"/>
              </w:rPr>
            </w:pPr>
          </w:p>
        </w:tc>
      </w:tr>
    </w:tbl>
    <w:p w14:paraId="7DE40855" w14:textId="77777777" w:rsidR="00B60C04" w:rsidRDefault="00B60C04" w:rsidP="00B60C04">
      <w:pPr>
        <w:rPr>
          <w:lang w:eastAsia="zh-CN"/>
        </w:rPr>
      </w:pPr>
    </w:p>
    <w:tbl>
      <w:tblPr>
        <w:tblStyle w:val="TableGrid"/>
        <w:tblW w:w="0" w:type="auto"/>
        <w:tblLook w:val="04A0" w:firstRow="1" w:lastRow="0" w:firstColumn="1" w:lastColumn="0" w:noHBand="0" w:noVBand="1"/>
      </w:tblPr>
      <w:tblGrid>
        <w:gridCol w:w="4621"/>
        <w:gridCol w:w="9266"/>
      </w:tblGrid>
      <w:tr w:rsidR="008E4DA7" w14:paraId="1BDB510D" w14:textId="77777777" w:rsidTr="003923AC">
        <w:tc>
          <w:tcPr>
            <w:tcW w:w="4621" w:type="dxa"/>
          </w:tcPr>
          <w:p w14:paraId="3020B258" w14:textId="77777777" w:rsidR="008E4DA7" w:rsidRDefault="008E4DA7" w:rsidP="007B24C3">
            <w:pPr>
              <w:pStyle w:val="NoSpacing"/>
            </w:pPr>
            <w:r>
              <w:t>Name of person completing this analysis</w:t>
            </w:r>
          </w:p>
          <w:p w14:paraId="7166B168" w14:textId="77777777" w:rsidR="008E4DA7" w:rsidRDefault="008E4DA7" w:rsidP="007B24C3">
            <w:pPr>
              <w:pStyle w:val="NoSpacing"/>
            </w:pPr>
          </w:p>
        </w:tc>
        <w:tc>
          <w:tcPr>
            <w:tcW w:w="9266" w:type="dxa"/>
          </w:tcPr>
          <w:p w14:paraId="0BB0E203" w14:textId="2EAFF116" w:rsidR="00584A32" w:rsidRDefault="00A938AD" w:rsidP="007B24C3">
            <w:pPr>
              <w:pStyle w:val="NoSpacing"/>
            </w:pPr>
            <w:r>
              <w:t xml:space="preserve">Dr Penny </w:t>
            </w:r>
            <w:proofErr w:type="spellStart"/>
            <w:r>
              <w:t>Haughan</w:t>
            </w:r>
            <w:proofErr w:type="spellEnd"/>
            <w:r>
              <w:t xml:space="preserve"> </w:t>
            </w:r>
          </w:p>
        </w:tc>
      </w:tr>
      <w:tr w:rsidR="008E4DA7" w14:paraId="3A277142" w14:textId="77777777" w:rsidTr="003923AC">
        <w:tc>
          <w:tcPr>
            <w:tcW w:w="4621" w:type="dxa"/>
          </w:tcPr>
          <w:p w14:paraId="47C12FE5" w14:textId="77777777" w:rsidR="008E4DA7" w:rsidRDefault="008E4DA7" w:rsidP="007B24C3">
            <w:pPr>
              <w:pStyle w:val="NoSpacing"/>
            </w:pPr>
            <w:r>
              <w:t>Job Title</w:t>
            </w:r>
          </w:p>
          <w:p w14:paraId="59574BAB" w14:textId="77777777" w:rsidR="008E4DA7" w:rsidRDefault="008E4DA7" w:rsidP="007B24C3">
            <w:pPr>
              <w:pStyle w:val="NoSpacing"/>
            </w:pPr>
          </w:p>
        </w:tc>
        <w:tc>
          <w:tcPr>
            <w:tcW w:w="9266" w:type="dxa"/>
          </w:tcPr>
          <w:p w14:paraId="04FEB30B" w14:textId="3F3890F4" w:rsidR="00584A32" w:rsidRDefault="00A938AD" w:rsidP="00327697">
            <w:pPr>
              <w:pStyle w:val="NoSpacing"/>
            </w:pPr>
            <w:r>
              <w:t xml:space="preserve">Deputy Vice-Chancellor &amp; Provost </w:t>
            </w:r>
          </w:p>
        </w:tc>
      </w:tr>
      <w:tr w:rsidR="008E4DA7" w14:paraId="62A73323" w14:textId="77777777" w:rsidTr="003923AC">
        <w:tc>
          <w:tcPr>
            <w:tcW w:w="4621" w:type="dxa"/>
          </w:tcPr>
          <w:p w14:paraId="1630B6AA" w14:textId="77777777" w:rsidR="008E4DA7" w:rsidRDefault="008E4DA7" w:rsidP="007B24C3">
            <w:pPr>
              <w:pStyle w:val="NoSpacing"/>
            </w:pPr>
            <w:r>
              <w:t>Date of completion</w:t>
            </w:r>
          </w:p>
          <w:p w14:paraId="65DC4862" w14:textId="77777777" w:rsidR="008E4DA7" w:rsidRDefault="008E4DA7" w:rsidP="007B24C3">
            <w:pPr>
              <w:pStyle w:val="NoSpacing"/>
            </w:pPr>
          </w:p>
        </w:tc>
        <w:tc>
          <w:tcPr>
            <w:tcW w:w="9266" w:type="dxa"/>
          </w:tcPr>
          <w:p w14:paraId="4ED1D362" w14:textId="37CC58D8" w:rsidR="008E4DA7" w:rsidRDefault="00742F48" w:rsidP="007B24C3">
            <w:pPr>
              <w:pStyle w:val="NoSpacing"/>
            </w:pPr>
            <w:r>
              <w:t xml:space="preserve">Latest update following Project Board </w:t>
            </w:r>
            <w:r w:rsidR="001C2CD4">
              <w:t>14/02/25</w:t>
            </w:r>
          </w:p>
        </w:tc>
      </w:tr>
    </w:tbl>
    <w:p w14:paraId="4361AC11" w14:textId="77777777" w:rsidR="00FD17D1" w:rsidRDefault="00FD17D1" w:rsidP="00620CD0">
      <w:pPr>
        <w:pStyle w:val="NoSpacing"/>
      </w:pPr>
    </w:p>
    <w:sectPr w:rsidR="00FD17D1" w:rsidSect="009968B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71D60" w14:textId="77777777" w:rsidR="00351FFC" w:rsidRDefault="00351FFC" w:rsidP="008333BF">
      <w:pPr>
        <w:spacing w:after="0" w:line="240" w:lineRule="auto"/>
      </w:pPr>
      <w:r>
        <w:separator/>
      </w:r>
    </w:p>
  </w:endnote>
  <w:endnote w:type="continuationSeparator" w:id="0">
    <w:p w14:paraId="246C240D" w14:textId="77777777" w:rsidR="00351FFC" w:rsidRDefault="00351FFC" w:rsidP="00833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3D898" w14:textId="77777777" w:rsidR="00351FFC" w:rsidRDefault="00351FFC" w:rsidP="008333BF">
      <w:pPr>
        <w:spacing w:after="0" w:line="240" w:lineRule="auto"/>
      </w:pPr>
      <w:r>
        <w:separator/>
      </w:r>
    </w:p>
  </w:footnote>
  <w:footnote w:type="continuationSeparator" w:id="0">
    <w:p w14:paraId="0D65F131" w14:textId="77777777" w:rsidR="00351FFC" w:rsidRDefault="00351FFC" w:rsidP="008333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2C5"/>
    <w:multiLevelType w:val="hybridMultilevel"/>
    <w:tmpl w:val="DDBE8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C317B"/>
    <w:multiLevelType w:val="hybridMultilevel"/>
    <w:tmpl w:val="D818D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61E75"/>
    <w:multiLevelType w:val="hybridMultilevel"/>
    <w:tmpl w:val="5702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11AF6"/>
    <w:multiLevelType w:val="multilevel"/>
    <w:tmpl w:val="308E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D71568"/>
    <w:multiLevelType w:val="multilevel"/>
    <w:tmpl w:val="EEE4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E5FBA"/>
    <w:multiLevelType w:val="hybridMultilevel"/>
    <w:tmpl w:val="B310104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763B33"/>
    <w:multiLevelType w:val="hybridMultilevel"/>
    <w:tmpl w:val="F34C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F42271"/>
    <w:multiLevelType w:val="hybridMultilevel"/>
    <w:tmpl w:val="0992A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666AB3"/>
    <w:multiLevelType w:val="hybridMultilevel"/>
    <w:tmpl w:val="39169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6341F2"/>
    <w:multiLevelType w:val="hybridMultilevel"/>
    <w:tmpl w:val="39C0E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A46D1B"/>
    <w:multiLevelType w:val="hybridMultilevel"/>
    <w:tmpl w:val="60B454EE"/>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11" w15:restartNumberingAfterBreak="0">
    <w:nsid w:val="45CE2DBC"/>
    <w:multiLevelType w:val="hybridMultilevel"/>
    <w:tmpl w:val="B9463DB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AF2AF3"/>
    <w:multiLevelType w:val="hybridMultilevel"/>
    <w:tmpl w:val="01B24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B30FDF"/>
    <w:multiLevelType w:val="hybridMultilevel"/>
    <w:tmpl w:val="6DAA8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D87AE1"/>
    <w:multiLevelType w:val="hybridMultilevel"/>
    <w:tmpl w:val="0AA23F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EE15EF"/>
    <w:multiLevelType w:val="multilevel"/>
    <w:tmpl w:val="5552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8428E2"/>
    <w:multiLevelType w:val="multilevel"/>
    <w:tmpl w:val="5502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4B00E9"/>
    <w:multiLevelType w:val="hybridMultilevel"/>
    <w:tmpl w:val="9BD82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BF6BF3"/>
    <w:multiLevelType w:val="hybridMultilevel"/>
    <w:tmpl w:val="6554E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096E47"/>
    <w:multiLevelType w:val="hybridMultilevel"/>
    <w:tmpl w:val="55807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735047"/>
    <w:multiLevelType w:val="multilevel"/>
    <w:tmpl w:val="D40A3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237957"/>
    <w:multiLevelType w:val="hybridMultilevel"/>
    <w:tmpl w:val="DED8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DD5739"/>
    <w:multiLevelType w:val="hybridMultilevel"/>
    <w:tmpl w:val="DB26BC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EAC2865"/>
    <w:multiLevelType w:val="multilevel"/>
    <w:tmpl w:val="D246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731160"/>
    <w:multiLevelType w:val="multilevel"/>
    <w:tmpl w:val="A356A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4"/>
  </w:num>
  <w:num w:numId="3">
    <w:abstractNumId w:val="17"/>
  </w:num>
  <w:num w:numId="4">
    <w:abstractNumId w:val="21"/>
  </w:num>
  <w:num w:numId="5">
    <w:abstractNumId w:val="11"/>
  </w:num>
  <w:num w:numId="6">
    <w:abstractNumId w:val="5"/>
  </w:num>
  <w:num w:numId="7">
    <w:abstractNumId w:val="2"/>
  </w:num>
  <w:num w:numId="8">
    <w:abstractNumId w:val="8"/>
  </w:num>
  <w:num w:numId="9">
    <w:abstractNumId w:val="7"/>
  </w:num>
  <w:num w:numId="10">
    <w:abstractNumId w:val="1"/>
  </w:num>
  <w:num w:numId="11">
    <w:abstractNumId w:val="6"/>
  </w:num>
  <w:num w:numId="12">
    <w:abstractNumId w:val="18"/>
  </w:num>
  <w:num w:numId="13">
    <w:abstractNumId w:val="13"/>
  </w:num>
  <w:num w:numId="14">
    <w:abstractNumId w:val="24"/>
  </w:num>
  <w:num w:numId="15">
    <w:abstractNumId w:val="12"/>
  </w:num>
  <w:num w:numId="16">
    <w:abstractNumId w:val="9"/>
  </w:num>
  <w:num w:numId="17">
    <w:abstractNumId w:val="19"/>
  </w:num>
  <w:num w:numId="18">
    <w:abstractNumId w:val="10"/>
  </w:num>
  <w:num w:numId="19">
    <w:abstractNumId w:val="22"/>
  </w:num>
  <w:num w:numId="20">
    <w:abstractNumId w:val="20"/>
  </w:num>
  <w:num w:numId="21">
    <w:abstractNumId w:val="15"/>
  </w:num>
  <w:num w:numId="22">
    <w:abstractNumId w:val="16"/>
  </w:num>
  <w:num w:numId="23">
    <w:abstractNumId w:val="23"/>
  </w:num>
  <w:num w:numId="24">
    <w:abstractNumId w:val="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157"/>
    <w:rsid w:val="0000608E"/>
    <w:rsid w:val="0001600A"/>
    <w:rsid w:val="00016B42"/>
    <w:rsid w:val="00024B36"/>
    <w:rsid w:val="000252EC"/>
    <w:rsid w:val="00054DB7"/>
    <w:rsid w:val="00055BC1"/>
    <w:rsid w:val="00083B5E"/>
    <w:rsid w:val="00083C84"/>
    <w:rsid w:val="000865B5"/>
    <w:rsid w:val="000A46D6"/>
    <w:rsid w:val="000B14C9"/>
    <w:rsid w:val="000C11D1"/>
    <w:rsid w:val="000D44BD"/>
    <w:rsid w:val="000F23F9"/>
    <w:rsid w:val="000F5B18"/>
    <w:rsid w:val="00112931"/>
    <w:rsid w:val="001311ED"/>
    <w:rsid w:val="0013212A"/>
    <w:rsid w:val="00161A67"/>
    <w:rsid w:val="001749F1"/>
    <w:rsid w:val="001825CD"/>
    <w:rsid w:val="001A354D"/>
    <w:rsid w:val="001C2CD4"/>
    <w:rsid w:val="001D4E02"/>
    <w:rsid w:val="001E5C0F"/>
    <w:rsid w:val="001F1493"/>
    <w:rsid w:val="001F50CF"/>
    <w:rsid w:val="00201281"/>
    <w:rsid w:val="00206BF9"/>
    <w:rsid w:val="00226560"/>
    <w:rsid w:val="0025104D"/>
    <w:rsid w:val="00261837"/>
    <w:rsid w:val="002718B1"/>
    <w:rsid w:val="00284AE7"/>
    <w:rsid w:val="00284D5A"/>
    <w:rsid w:val="002B306C"/>
    <w:rsid w:val="002B7237"/>
    <w:rsid w:val="002C5219"/>
    <w:rsid w:val="002D28FA"/>
    <w:rsid w:val="002D38C3"/>
    <w:rsid w:val="002E04CC"/>
    <w:rsid w:val="002E40A8"/>
    <w:rsid w:val="002E7C4D"/>
    <w:rsid w:val="00304012"/>
    <w:rsid w:val="00327697"/>
    <w:rsid w:val="00327779"/>
    <w:rsid w:val="0033197C"/>
    <w:rsid w:val="00335470"/>
    <w:rsid w:val="00350C14"/>
    <w:rsid w:val="00351FFC"/>
    <w:rsid w:val="0036702A"/>
    <w:rsid w:val="00370116"/>
    <w:rsid w:val="00373D07"/>
    <w:rsid w:val="003822B6"/>
    <w:rsid w:val="00385A3E"/>
    <w:rsid w:val="003879C4"/>
    <w:rsid w:val="003923AC"/>
    <w:rsid w:val="00397B2B"/>
    <w:rsid w:val="003A7AD7"/>
    <w:rsid w:val="003B3382"/>
    <w:rsid w:val="003C19E8"/>
    <w:rsid w:val="003C61D6"/>
    <w:rsid w:val="003E58CA"/>
    <w:rsid w:val="00404573"/>
    <w:rsid w:val="00406357"/>
    <w:rsid w:val="00413544"/>
    <w:rsid w:val="00426C23"/>
    <w:rsid w:val="004617AE"/>
    <w:rsid w:val="00463350"/>
    <w:rsid w:val="004808C1"/>
    <w:rsid w:val="00494ABE"/>
    <w:rsid w:val="004A20CB"/>
    <w:rsid w:val="004B2C00"/>
    <w:rsid w:val="004B4CD4"/>
    <w:rsid w:val="004B6866"/>
    <w:rsid w:val="004B73FB"/>
    <w:rsid w:val="004D0236"/>
    <w:rsid w:val="004E0E30"/>
    <w:rsid w:val="004E37C5"/>
    <w:rsid w:val="004F1793"/>
    <w:rsid w:val="00501588"/>
    <w:rsid w:val="0051272B"/>
    <w:rsid w:val="005316C7"/>
    <w:rsid w:val="005426CC"/>
    <w:rsid w:val="00544E5B"/>
    <w:rsid w:val="005772CE"/>
    <w:rsid w:val="00582C83"/>
    <w:rsid w:val="00584A32"/>
    <w:rsid w:val="00596D7E"/>
    <w:rsid w:val="005C1316"/>
    <w:rsid w:val="005C5B57"/>
    <w:rsid w:val="005C6157"/>
    <w:rsid w:val="005E3F8D"/>
    <w:rsid w:val="005F60FA"/>
    <w:rsid w:val="005F617F"/>
    <w:rsid w:val="00613D18"/>
    <w:rsid w:val="00620CD0"/>
    <w:rsid w:val="006405F0"/>
    <w:rsid w:val="00640A1C"/>
    <w:rsid w:val="0065311B"/>
    <w:rsid w:val="00661FD0"/>
    <w:rsid w:val="006704C5"/>
    <w:rsid w:val="00676772"/>
    <w:rsid w:val="0068087F"/>
    <w:rsid w:val="0068385E"/>
    <w:rsid w:val="00692D92"/>
    <w:rsid w:val="006964EB"/>
    <w:rsid w:val="006A16FC"/>
    <w:rsid w:val="006A1C94"/>
    <w:rsid w:val="006A349B"/>
    <w:rsid w:val="006B5639"/>
    <w:rsid w:val="006D16F7"/>
    <w:rsid w:val="006E0236"/>
    <w:rsid w:val="006E0626"/>
    <w:rsid w:val="006E0E3F"/>
    <w:rsid w:val="00712E6D"/>
    <w:rsid w:val="007266F8"/>
    <w:rsid w:val="00742F48"/>
    <w:rsid w:val="0074336A"/>
    <w:rsid w:val="0075044D"/>
    <w:rsid w:val="00755079"/>
    <w:rsid w:val="007804C8"/>
    <w:rsid w:val="007A2BC1"/>
    <w:rsid w:val="007B24C3"/>
    <w:rsid w:val="007B6AFB"/>
    <w:rsid w:val="007C1D91"/>
    <w:rsid w:val="007E7875"/>
    <w:rsid w:val="007F64EC"/>
    <w:rsid w:val="0080074F"/>
    <w:rsid w:val="00802C60"/>
    <w:rsid w:val="008218E7"/>
    <w:rsid w:val="00827CA6"/>
    <w:rsid w:val="008333BF"/>
    <w:rsid w:val="0084165C"/>
    <w:rsid w:val="0085368E"/>
    <w:rsid w:val="00854415"/>
    <w:rsid w:val="00880B70"/>
    <w:rsid w:val="00880F19"/>
    <w:rsid w:val="00885FB7"/>
    <w:rsid w:val="008A2194"/>
    <w:rsid w:val="008B049B"/>
    <w:rsid w:val="008B4B2C"/>
    <w:rsid w:val="008C44BC"/>
    <w:rsid w:val="008D2463"/>
    <w:rsid w:val="008D4321"/>
    <w:rsid w:val="008E2DA2"/>
    <w:rsid w:val="008E4DA7"/>
    <w:rsid w:val="008F4CA2"/>
    <w:rsid w:val="009056B8"/>
    <w:rsid w:val="00913B09"/>
    <w:rsid w:val="00914614"/>
    <w:rsid w:val="0091527D"/>
    <w:rsid w:val="0091565B"/>
    <w:rsid w:val="00920C84"/>
    <w:rsid w:val="00925947"/>
    <w:rsid w:val="00937DBE"/>
    <w:rsid w:val="009443EE"/>
    <w:rsid w:val="00970A2A"/>
    <w:rsid w:val="00984691"/>
    <w:rsid w:val="00986DFC"/>
    <w:rsid w:val="009906EE"/>
    <w:rsid w:val="00991E52"/>
    <w:rsid w:val="009968BD"/>
    <w:rsid w:val="009A2936"/>
    <w:rsid w:val="009A71CD"/>
    <w:rsid w:val="009D3302"/>
    <w:rsid w:val="009F1570"/>
    <w:rsid w:val="009F69E0"/>
    <w:rsid w:val="00A022D3"/>
    <w:rsid w:val="00A0685A"/>
    <w:rsid w:val="00A06AAF"/>
    <w:rsid w:val="00A10F64"/>
    <w:rsid w:val="00A13F70"/>
    <w:rsid w:val="00A14151"/>
    <w:rsid w:val="00A15193"/>
    <w:rsid w:val="00A179EA"/>
    <w:rsid w:val="00A461C3"/>
    <w:rsid w:val="00A51C39"/>
    <w:rsid w:val="00A53DD3"/>
    <w:rsid w:val="00A6676A"/>
    <w:rsid w:val="00A722E5"/>
    <w:rsid w:val="00A73C20"/>
    <w:rsid w:val="00A76425"/>
    <w:rsid w:val="00A81185"/>
    <w:rsid w:val="00A86522"/>
    <w:rsid w:val="00A91B60"/>
    <w:rsid w:val="00A938AD"/>
    <w:rsid w:val="00AD25B9"/>
    <w:rsid w:val="00AD675D"/>
    <w:rsid w:val="00AE301B"/>
    <w:rsid w:val="00B040D9"/>
    <w:rsid w:val="00B141B9"/>
    <w:rsid w:val="00B15811"/>
    <w:rsid w:val="00B40E29"/>
    <w:rsid w:val="00B45EC2"/>
    <w:rsid w:val="00B50BB5"/>
    <w:rsid w:val="00B5634D"/>
    <w:rsid w:val="00B60C04"/>
    <w:rsid w:val="00B774A5"/>
    <w:rsid w:val="00B804A3"/>
    <w:rsid w:val="00B83129"/>
    <w:rsid w:val="00B9404C"/>
    <w:rsid w:val="00BB1C30"/>
    <w:rsid w:val="00BB4913"/>
    <w:rsid w:val="00BB4F00"/>
    <w:rsid w:val="00C05AE4"/>
    <w:rsid w:val="00C13452"/>
    <w:rsid w:val="00C26D79"/>
    <w:rsid w:val="00C27D86"/>
    <w:rsid w:val="00C350B5"/>
    <w:rsid w:val="00C42832"/>
    <w:rsid w:val="00C46C48"/>
    <w:rsid w:val="00C4755E"/>
    <w:rsid w:val="00C63760"/>
    <w:rsid w:val="00C6442D"/>
    <w:rsid w:val="00C7006D"/>
    <w:rsid w:val="00C703A0"/>
    <w:rsid w:val="00C71C87"/>
    <w:rsid w:val="00C875FE"/>
    <w:rsid w:val="00CB5CD5"/>
    <w:rsid w:val="00CD65D6"/>
    <w:rsid w:val="00CD7196"/>
    <w:rsid w:val="00CE5F62"/>
    <w:rsid w:val="00D00450"/>
    <w:rsid w:val="00D012D6"/>
    <w:rsid w:val="00D1546A"/>
    <w:rsid w:val="00D315AB"/>
    <w:rsid w:val="00D3689C"/>
    <w:rsid w:val="00D4157F"/>
    <w:rsid w:val="00D42389"/>
    <w:rsid w:val="00D54FE5"/>
    <w:rsid w:val="00D648AC"/>
    <w:rsid w:val="00D871CA"/>
    <w:rsid w:val="00DA51CD"/>
    <w:rsid w:val="00DA64AD"/>
    <w:rsid w:val="00DD5EFB"/>
    <w:rsid w:val="00DD60D9"/>
    <w:rsid w:val="00DE0693"/>
    <w:rsid w:val="00DE3565"/>
    <w:rsid w:val="00DE721E"/>
    <w:rsid w:val="00E01F45"/>
    <w:rsid w:val="00E05CED"/>
    <w:rsid w:val="00E10970"/>
    <w:rsid w:val="00E21B71"/>
    <w:rsid w:val="00E251C9"/>
    <w:rsid w:val="00E3454C"/>
    <w:rsid w:val="00E502A3"/>
    <w:rsid w:val="00E50348"/>
    <w:rsid w:val="00E5241A"/>
    <w:rsid w:val="00E5270E"/>
    <w:rsid w:val="00E53FF1"/>
    <w:rsid w:val="00E550FD"/>
    <w:rsid w:val="00E56757"/>
    <w:rsid w:val="00E57609"/>
    <w:rsid w:val="00E6099C"/>
    <w:rsid w:val="00E63CBD"/>
    <w:rsid w:val="00EA0808"/>
    <w:rsid w:val="00EB2B4B"/>
    <w:rsid w:val="00EC1E76"/>
    <w:rsid w:val="00EC5E82"/>
    <w:rsid w:val="00ED4F1B"/>
    <w:rsid w:val="00F02EC6"/>
    <w:rsid w:val="00F15B12"/>
    <w:rsid w:val="00F35A24"/>
    <w:rsid w:val="00F37FA3"/>
    <w:rsid w:val="00F410FA"/>
    <w:rsid w:val="00F42520"/>
    <w:rsid w:val="00F440A3"/>
    <w:rsid w:val="00F57E7E"/>
    <w:rsid w:val="00F676E7"/>
    <w:rsid w:val="00F82407"/>
    <w:rsid w:val="00F87D32"/>
    <w:rsid w:val="00F9795F"/>
    <w:rsid w:val="00FA3B58"/>
    <w:rsid w:val="00FB0C90"/>
    <w:rsid w:val="00FB1126"/>
    <w:rsid w:val="00FB3CB3"/>
    <w:rsid w:val="00FD17D1"/>
    <w:rsid w:val="00FD670D"/>
    <w:rsid w:val="00FE2C80"/>
    <w:rsid w:val="00FE7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482CA3"/>
  <w15:docId w15:val="{613B8623-3CCB-4571-B878-CD3E17A2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34D"/>
  </w:style>
  <w:style w:type="paragraph" w:styleId="Heading2">
    <w:name w:val="heading 2"/>
    <w:basedOn w:val="Normal"/>
    <w:next w:val="Normal"/>
    <w:link w:val="Heading2Char"/>
    <w:uiPriority w:val="9"/>
    <w:unhideWhenUsed/>
    <w:qFormat/>
    <w:rsid w:val="00B60C04"/>
    <w:pPr>
      <w:keepNext/>
      <w:keepLines/>
      <w:spacing w:before="200" w:after="0"/>
      <w:outlineLvl w:val="1"/>
    </w:pPr>
    <w:rPr>
      <w:rFonts w:asciiTheme="majorHAnsi" w:eastAsiaTheme="majorEastAsia" w:hAnsiTheme="majorHAnsi" w:cstheme="majorBidi"/>
      <w:b/>
      <w:bCs/>
      <w:color w:val="4F81BD" w:themeColor="accent1"/>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7196"/>
    <w:pPr>
      <w:spacing w:after="0" w:line="240" w:lineRule="auto"/>
    </w:pPr>
  </w:style>
  <w:style w:type="table" w:styleId="TableGrid">
    <w:name w:val="Table Grid"/>
    <w:basedOn w:val="TableNormal"/>
    <w:uiPriority w:val="59"/>
    <w:rsid w:val="009F6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02A3"/>
    <w:rPr>
      <w:color w:val="0000FF" w:themeColor="hyperlink"/>
      <w:u w:val="single"/>
    </w:rPr>
  </w:style>
  <w:style w:type="paragraph" w:styleId="Header">
    <w:name w:val="header"/>
    <w:basedOn w:val="Normal"/>
    <w:link w:val="HeaderChar"/>
    <w:uiPriority w:val="99"/>
    <w:unhideWhenUsed/>
    <w:rsid w:val="008333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3BF"/>
  </w:style>
  <w:style w:type="paragraph" w:styleId="Footer">
    <w:name w:val="footer"/>
    <w:basedOn w:val="Normal"/>
    <w:link w:val="FooterChar"/>
    <w:uiPriority w:val="99"/>
    <w:unhideWhenUsed/>
    <w:rsid w:val="008333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3BF"/>
  </w:style>
  <w:style w:type="paragraph" w:customStyle="1" w:styleId="Default">
    <w:name w:val="Default"/>
    <w:rsid w:val="007E7875"/>
    <w:pPr>
      <w:autoSpaceDE w:val="0"/>
      <w:autoSpaceDN w:val="0"/>
      <w:adjustRightInd w:val="0"/>
      <w:spacing w:after="0" w:line="240" w:lineRule="auto"/>
    </w:pPr>
    <w:rPr>
      <w:rFonts w:cs="Arial"/>
      <w:color w:val="000000"/>
      <w:szCs w:val="24"/>
    </w:rPr>
  </w:style>
  <w:style w:type="character" w:customStyle="1" w:styleId="Heading2Char">
    <w:name w:val="Heading 2 Char"/>
    <w:basedOn w:val="DefaultParagraphFont"/>
    <w:link w:val="Heading2"/>
    <w:uiPriority w:val="9"/>
    <w:rsid w:val="00B60C04"/>
    <w:rPr>
      <w:rFonts w:asciiTheme="majorHAnsi" w:eastAsiaTheme="majorEastAsia" w:hAnsiTheme="majorHAnsi" w:cstheme="majorBidi"/>
      <w:b/>
      <w:bCs/>
      <w:color w:val="4F81BD" w:themeColor="accent1"/>
      <w:sz w:val="26"/>
      <w:szCs w:val="26"/>
      <w:lang w:eastAsia="zh-CN"/>
    </w:rPr>
  </w:style>
  <w:style w:type="paragraph" w:styleId="ListParagraph">
    <w:name w:val="List Paragraph"/>
    <w:basedOn w:val="Normal"/>
    <w:uiPriority w:val="34"/>
    <w:qFormat/>
    <w:rsid w:val="0000608E"/>
    <w:pPr>
      <w:spacing w:after="160"/>
      <w:ind w:left="720"/>
      <w:contextualSpacing/>
      <w:jc w:val="both"/>
    </w:pPr>
    <w:rPr>
      <w:rFonts w:asciiTheme="minorHAnsi" w:hAnsiTheme="minorHAnsi"/>
      <w:sz w:val="22"/>
    </w:rPr>
  </w:style>
  <w:style w:type="character" w:styleId="CommentReference">
    <w:name w:val="annotation reference"/>
    <w:basedOn w:val="DefaultParagraphFont"/>
    <w:uiPriority w:val="99"/>
    <w:semiHidden/>
    <w:unhideWhenUsed/>
    <w:rsid w:val="0000608E"/>
    <w:rPr>
      <w:sz w:val="16"/>
      <w:szCs w:val="16"/>
    </w:rPr>
  </w:style>
  <w:style w:type="paragraph" w:styleId="CommentText">
    <w:name w:val="annotation text"/>
    <w:basedOn w:val="Normal"/>
    <w:link w:val="CommentTextChar"/>
    <w:uiPriority w:val="99"/>
    <w:semiHidden/>
    <w:unhideWhenUsed/>
    <w:rsid w:val="0000608E"/>
    <w:pPr>
      <w:spacing w:after="160" w:line="240" w:lineRule="auto"/>
      <w:jc w:val="both"/>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00608E"/>
    <w:rPr>
      <w:rFonts w:asciiTheme="minorHAnsi" w:hAnsiTheme="minorHAnsi"/>
      <w:sz w:val="20"/>
      <w:szCs w:val="20"/>
    </w:rPr>
  </w:style>
  <w:style w:type="paragraph" w:styleId="BalloonText">
    <w:name w:val="Balloon Text"/>
    <w:basedOn w:val="Normal"/>
    <w:link w:val="BalloonTextChar"/>
    <w:uiPriority w:val="99"/>
    <w:semiHidden/>
    <w:unhideWhenUsed/>
    <w:rsid w:val="000060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08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C1316"/>
    <w:pPr>
      <w:spacing w:after="200"/>
      <w:jc w:val="left"/>
    </w:pPr>
    <w:rPr>
      <w:rFonts w:ascii="Arial" w:hAnsi="Arial"/>
      <w:b/>
      <w:bCs/>
    </w:rPr>
  </w:style>
  <w:style w:type="character" w:customStyle="1" w:styleId="CommentSubjectChar">
    <w:name w:val="Comment Subject Char"/>
    <w:basedOn w:val="CommentTextChar"/>
    <w:link w:val="CommentSubject"/>
    <w:uiPriority w:val="99"/>
    <w:semiHidden/>
    <w:rsid w:val="005C1316"/>
    <w:rPr>
      <w:rFonts w:asciiTheme="minorHAnsi" w:hAnsiTheme="minorHAnsi"/>
      <w:b/>
      <w:bCs/>
      <w:sz w:val="20"/>
      <w:szCs w:val="20"/>
    </w:rPr>
  </w:style>
  <w:style w:type="table" w:customStyle="1" w:styleId="GridTable1Light-Accent31">
    <w:name w:val="Grid Table 1 Light - Accent 31"/>
    <w:basedOn w:val="TableNormal"/>
    <w:uiPriority w:val="46"/>
    <w:rsid w:val="003879C4"/>
    <w:pPr>
      <w:spacing w:after="0" w:line="240" w:lineRule="auto"/>
    </w:pPr>
    <w:rPr>
      <w:rFonts w:asciiTheme="minorHAnsi" w:hAnsiTheme="minorHAnsi"/>
      <w:sz w:val="22"/>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gmaildefault">
    <w:name w:val="gmail_default"/>
    <w:basedOn w:val="DefaultParagraphFont"/>
    <w:rsid w:val="00692D92"/>
  </w:style>
  <w:style w:type="table" w:customStyle="1" w:styleId="GridTable1Light-Accent32">
    <w:name w:val="Grid Table 1 Light - Accent 32"/>
    <w:basedOn w:val="TableNormal"/>
    <w:uiPriority w:val="46"/>
    <w:rsid w:val="00A179EA"/>
    <w:pPr>
      <w:spacing w:after="0" w:line="240" w:lineRule="auto"/>
    </w:pPr>
    <w:rPr>
      <w:rFonts w:asciiTheme="minorHAnsi" w:hAnsiTheme="minorHAnsi"/>
      <w:sz w:val="22"/>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A179EA"/>
    <w:rPr>
      <w:color w:val="800080" w:themeColor="followedHyperlink"/>
      <w:u w:val="single"/>
    </w:rPr>
  </w:style>
  <w:style w:type="character" w:styleId="Strong">
    <w:name w:val="Strong"/>
    <w:basedOn w:val="DefaultParagraphFont"/>
    <w:uiPriority w:val="22"/>
    <w:qFormat/>
    <w:rsid w:val="00D4157F"/>
    <w:rPr>
      <w:b/>
      <w:bCs/>
    </w:rPr>
  </w:style>
  <w:style w:type="paragraph" w:styleId="NormalWeb">
    <w:name w:val="Normal (Web)"/>
    <w:basedOn w:val="Normal"/>
    <w:uiPriority w:val="99"/>
    <w:unhideWhenUsed/>
    <w:rsid w:val="00D4157F"/>
    <w:pPr>
      <w:spacing w:before="100" w:beforeAutospacing="1" w:after="100" w:afterAutospacing="1" w:line="240" w:lineRule="auto"/>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A938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920757">
      <w:bodyDiv w:val="1"/>
      <w:marLeft w:val="0"/>
      <w:marRight w:val="0"/>
      <w:marTop w:val="0"/>
      <w:marBottom w:val="0"/>
      <w:divBdr>
        <w:top w:val="none" w:sz="0" w:space="0" w:color="auto"/>
        <w:left w:val="none" w:sz="0" w:space="0" w:color="auto"/>
        <w:bottom w:val="none" w:sz="0" w:space="0" w:color="auto"/>
        <w:right w:val="none" w:sz="0" w:space="0" w:color="auto"/>
      </w:divBdr>
    </w:div>
    <w:div w:id="642195118">
      <w:bodyDiv w:val="1"/>
      <w:marLeft w:val="0"/>
      <w:marRight w:val="0"/>
      <w:marTop w:val="0"/>
      <w:marBottom w:val="0"/>
      <w:divBdr>
        <w:top w:val="none" w:sz="0" w:space="0" w:color="auto"/>
        <w:left w:val="none" w:sz="0" w:space="0" w:color="auto"/>
        <w:bottom w:val="none" w:sz="0" w:space="0" w:color="auto"/>
        <w:right w:val="none" w:sz="0" w:space="0" w:color="auto"/>
      </w:divBdr>
    </w:div>
    <w:div w:id="644551189">
      <w:bodyDiv w:val="1"/>
      <w:marLeft w:val="0"/>
      <w:marRight w:val="0"/>
      <w:marTop w:val="0"/>
      <w:marBottom w:val="0"/>
      <w:divBdr>
        <w:top w:val="none" w:sz="0" w:space="0" w:color="auto"/>
        <w:left w:val="none" w:sz="0" w:space="0" w:color="auto"/>
        <w:bottom w:val="none" w:sz="0" w:space="0" w:color="auto"/>
        <w:right w:val="none" w:sz="0" w:space="0" w:color="auto"/>
      </w:divBdr>
    </w:div>
    <w:div w:id="1201556916">
      <w:bodyDiv w:val="1"/>
      <w:marLeft w:val="0"/>
      <w:marRight w:val="0"/>
      <w:marTop w:val="0"/>
      <w:marBottom w:val="0"/>
      <w:divBdr>
        <w:top w:val="none" w:sz="0" w:space="0" w:color="auto"/>
        <w:left w:val="none" w:sz="0" w:space="0" w:color="auto"/>
        <w:bottom w:val="none" w:sz="0" w:space="0" w:color="auto"/>
        <w:right w:val="none" w:sz="0" w:space="0" w:color="auto"/>
      </w:divBdr>
    </w:div>
    <w:div w:id="1283464401">
      <w:bodyDiv w:val="1"/>
      <w:marLeft w:val="0"/>
      <w:marRight w:val="0"/>
      <w:marTop w:val="0"/>
      <w:marBottom w:val="0"/>
      <w:divBdr>
        <w:top w:val="none" w:sz="0" w:space="0" w:color="auto"/>
        <w:left w:val="none" w:sz="0" w:space="0" w:color="auto"/>
        <w:bottom w:val="none" w:sz="0" w:space="0" w:color="auto"/>
        <w:right w:val="none" w:sz="0" w:space="0" w:color="auto"/>
      </w:divBdr>
    </w:div>
    <w:div w:id="171377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54417D40-DA95-4532-9968-5C11490F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8</Pages>
  <Words>1611</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Helen Byrne</cp:lastModifiedBy>
  <cp:revision>13</cp:revision>
  <cp:lastPrinted>2025-02-14T14:33:00Z</cp:lastPrinted>
  <dcterms:created xsi:type="dcterms:W3CDTF">2025-02-14T14:09:00Z</dcterms:created>
  <dcterms:modified xsi:type="dcterms:W3CDTF">2025-02-14T16:15:00Z</dcterms:modified>
</cp:coreProperties>
</file>